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361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01"/>
        <w:gridCol w:w="7513"/>
      </w:tblGrid>
      <w:tr w:rsidR="0072664F" w:rsidRPr="009E22C5" w:rsidTr="00DB103B">
        <w:tc>
          <w:tcPr>
            <w:tcW w:w="6101" w:type="dxa"/>
            <w:shd w:val="clear" w:color="auto" w:fill="auto"/>
          </w:tcPr>
          <w:p w:rsidR="007A3256" w:rsidRPr="007318EC" w:rsidRDefault="007A3256" w:rsidP="007A3256">
            <w:pPr>
              <w:widowControl w:val="0"/>
              <w:jc w:val="center"/>
              <w:rPr>
                <w:b/>
                <w:color w:val="000000" w:themeColor="text1"/>
                <w:spacing w:val="-10"/>
                <w:sz w:val="28"/>
                <w:szCs w:val="28"/>
              </w:rPr>
            </w:pPr>
            <w:r w:rsidRPr="007318EC">
              <w:rPr>
                <w:b/>
                <w:color w:val="000000" w:themeColor="text1"/>
                <w:spacing w:val="-10"/>
                <w:sz w:val="28"/>
                <w:szCs w:val="28"/>
              </w:rPr>
              <w:t>BỘ NÔNG NGHIỆP VÀ MÔI TRƯỜNG</w:t>
            </w:r>
          </w:p>
          <w:p w:rsidR="007A3256" w:rsidRPr="009E22C5" w:rsidRDefault="007A3256" w:rsidP="0072664F">
            <w:pPr>
              <w:widowControl w:val="0"/>
              <w:jc w:val="center"/>
              <w:rPr>
                <w:color w:val="000000" w:themeColor="text1"/>
                <w:sz w:val="28"/>
                <w:szCs w:val="28"/>
              </w:rPr>
            </w:pPr>
            <w:r w:rsidRPr="009E22C5">
              <w:rPr>
                <w:noProof/>
                <w:color w:val="000000" w:themeColor="text1"/>
                <w:sz w:val="28"/>
                <w:szCs w:val="28"/>
              </w:rPr>
              <mc:AlternateContent>
                <mc:Choice Requires="wps">
                  <w:drawing>
                    <wp:anchor distT="0" distB="0" distL="114300" distR="114300" simplePos="0" relativeHeight="251659264" behindDoc="0" locked="0" layoutInCell="1" allowOverlap="1" wp14:anchorId="12C1F3F8" wp14:editId="35B93248">
                      <wp:simplePos x="0" y="0"/>
                      <wp:positionH relativeFrom="column">
                        <wp:posOffset>1523365</wp:posOffset>
                      </wp:positionH>
                      <wp:positionV relativeFrom="paragraph">
                        <wp:posOffset>48450</wp:posOffset>
                      </wp:positionV>
                      <wp:extent cx="826935" cy="0"/>
                      <wp:effectExtent l="0" t="0" r="30480" b="19050"/>
                      <wp:wrapNone/>
                      <wp:docPr id="1771943649" name="Straight Connector 4"/>
                      <wp:cNvGraphicFramePr/>
                      <a:graphic xmlns:a="http://schemas.openxmlformats.org/drawingml/2006/main">
                        <a:graphicData uri="http://schemas.microsoft.com/office/word/2010/wordprocessingShape">
                          <wps:wsp>
                            <wps:cNvCnPr/>
                            <wps:spPr>
                              <a:xfrm>
                                <a:off x="0" y="0"/>
                                <a:ext cx="826935" cy="0"/>
                              </a:xfrm>
                              <a:prstGeom prst="line">
                                <a:avLst/>
                              </a:prstGeom>
                              <a:noFill/>
                              <a:ln w="6350" cap="flat" cmpd="sng" algn="ctr">
                                <a:solidFill>
                                  <a:srgbClr val="5B9BD5"/>
                                </a:solidFill>
                                <a:prstDash val="solid"/>
                                <a:miter lim="800000"/>
                              </a:ln>
                              <a:effectLst/>
                            </wps:spPr>
                            <wps:bodyPr/>
                          </wps:wsp>
                        </a:graphicData>
                      </a:graphic>
                    </wp:anchor>
                  </w:drawing>
                </mc:Choice>
                <mc:Fallback xmlns:cx1="http://schemas.microsoft.com/office/drawing/2015/9/8/chartex">
                  <w:pict>
                    <v:line w14:anchorId="61401640"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9.95pt,3.8pt" to="185.0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" strokecolor="#5b9bd5" strokeweight=".5pt">
                      <v:stroke joinstyle="miter"/>
                    </v:line>
                  </w:pict>
                </mc:Fallback>
              </mc:AlternateContent>
            </w:r>
          </w:p>
        </w:tc>
        <w:tc>
          <w:tcPr>
            <w:tcW w:w="7513" w:type="dxa"/>
            <w:shd w:val="clear" w:color="auto" w:fill="auto"/>
          </w:tcPr>
          <w:p w:rsidR="007A3256" w:rsidRPr="009E22C5" w:rsidRDefault="007A3256" w:rsidP="007A3256">
            <w:pPr>
              <w:widowControl w:val="0"/>
              <w:jc w:val="center"/>
              <w:rPr>
                <w:b/>
                <w:color w:val="000000" w:themeColor="text1"/>
                <w:spacing w:val="-10"/>
                <w:sz w:val="28"/>
                <w:szCs w:val="28"/>
              </w:rPr>
            </w:pPr>
            <w:r w:rsidRPr="009E22C5">
              <w:rPr>
                <w:b/>
                <w:color w:val="000000" w:themeColor="text1"/>
                <w:spacing w:val="-10"/>
                <w:sz w:val="28"/>
                <w:szCs w:val="28"/>
              </w:rPr>
              <w:t>CỘNG HÒA XÃ HỘI CHỦ NGHĨA VIỆT NAM</w:t>
            </w:r>
          </w:p>
          <w:p w:rsidR="007A3256" w:rsidRPr="009E22C5" w:rsidRDefault="007A3256" w:rsidP="007A3256">
            <w:pPr>
              <w:widowControl w:val="0"/>
              <w:jc w:val="center"/>
              <w:rPr>
                <w:b/>
                <w:color w:val="000000" w:themeColor="text1"/>
                <w:sz w:val="28"/>
                <w:szCs w:val="28"/>
              </w:rPr>
            </w:pPr>
            <w:r w:rsidRPr="009E22C5">
              <w:rPr>
                <w:b/>
                <w:color w:val="000000" w:themeColor="text1"/>
                <w:sz w:val="28"/>
                <w:szCs w:val="28"/>
              </w:rPr>
              <w:t>Độc lập - Tự do - Hạnh phúc</w:t>
            </w:r>
          </w:p>
          <w:p w:rsidR="007A3256" w:rsidRPr="009E22C5" w:rsidRDefault="007A3256" w:rsidP="007A3256">
            <w:pPr>
              <w:widowControl w:val="0"/>
              <w:jc w:val="center"/>
              <w:rPr>
                <w:i/>
                <w:iCs/>
                <w:color w:val="000000" w:themeColor="text1"/>
                <w:sz w:val="28"/>
                <w:szCs w:val="28"/>
              </w:rPr>
            </w:pPr>
            <w:r w:rsidRPr="009E22C5">
              <w:rPr>
                <w:i/>
                <w:iCs/>
                <w:noProof/>
                <w:color w:val="000000" w:themeColor="text1"/>
                <w:sz w:val="28"/>
                <w:szCs w:val="28"/>
              </w:rPr>
              <mc:AlternateContent>
                <mc:Choice Requires="wps">
                  <w:drawing>
                    <wp:anchor distT="0" distB="0" distL="114300" distR="114300" simplePos="0" relativeHeight="251660288" behindDoc="0" locked="0" layoutInCell="1" allowOverlap="1" wp14:anchorId="1CCACF0C" wp14:editId="2B75BF80">
                      <wp:simplePos x="0" y="0"/>
                      <wp:positionH relativeFrom="column">
                        <wp:posOffset>1524445</wp:posOffset>
                      </wp:positionH>
                      <wp:positionV relativeFrom="paragraph">
                        <wp:posOffset>69850</wp:posOffset>
                      </wp:positionV>
                      <wp:extent cx="1725433" cy="0"/>
                      <wp:effectExtent l="0" t="0" r="27305" b="19050"/>
                      <wp:wrapNone/>
                      <wp:docPr id="1967302234" name="Straight Connector 5"/>
                      <wp:cNvGraphicFramePr/>
                      <a:graphic xmlns:a="http://schemas.openxmlformats.org/drawingml/2006/main">
                        <a:graphicData uri="http://schemas.microsoft.com/office/word/2010/wordprocessingShape">
                          <wps:wsp>
                            <wps:cNvCnPr/>
                            <wps:spPr>
                              <a:xfrm>
                                <a:off x="0" y="0"/>
                                <a:ext cx="1725433" cy="0"/>
                              </a:xfrm>
                              <a:prstGeom prst="line">
                                <a:avLst/>
                              </a:prstGeom>
                              <a:noFill/>
                              <a:ln w="6350" cap="flat" cmpd="sng" algn="ctr">
                                <a:solidFill>
                                  <a:srgbClr val="5B9BD5"/>
                                </a:solidFill>
                                <a:prstDash val="solid"/>
                                <a:miter lim="800000"/>
                              </a:ln>
                              <a:effectLst/>
                            </wps:spPr>
                            <wps:bodyPr/>
                          </wps:wsp>
                        </a:graphicData>
                      </a:graphic>
                    </wp:anchor>
                  </w:drawing>
                </mc:Choice>
                <mc:Fallback xmlns:cx1="http://schemas.microsoft.com/office/drawing/2015/9/8/chartex">
                  <w:pict>
                    <v:line w14:anchorId="1A78293F"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20.05pt,5.5pt" to="255.9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" strokecolor="#5b9bd5" strokeweight=".5pt">
                      <v:stroke joinstyle="miter"/>
                    </v:line>
                  </w:pict>
                </mc:Fallback>
              </mc:AlternateContent>
            </w:r>
          </w:p>
          <w:p w:rsidR="007A3256" w:rsidRPr="009E22C5" w:rsidRDefault="00E87080" w:rsidP="00E00BCF">
            <w:pPr>
              <w:widowControl w:val="0"/>
              <w:jc w:val="center"/>
              <w:rPr>
                <w:i/>
                <w:iCs/>
                <w:color w:val="000000" w:themeColor="text1"/>
                <w:sz w:val="28"/>
                <w:szCs w:val="28"/>
              </w:rPr>
            </w:pPr>
            <w:r w:rsidRPr="009E22C5">
              <w:rPr>
                <w:i/>
                <w:iCs/>
                <w:color w:val="000000" w:themeColor="text1"/>
                <w:sz w:val="28"/>
                <w:szCs w:val="28"/>
              </w:rPr>
              <w:t xml:space="preserve">Hà Nội, ngày </w:t>
            </w:r>
            <w:r w:rsidR="00E00BCF">
              <w:rPr>
                <w:i/>
                <w:iCs/>
                <w:color w:val="000000" w:themeColor="text1"/>
                <w:sz w:val="28"/>
                <w:szCs w:val="28"/>
              </w:rPr>
              <w:t>20</w:t>
            </w:r>
            <w:r w:rsidR="007A3256" w:rsidRPr="009E22C5">
              <w:rPr>
                <w:i/>
                <w:iCs/>
                <w:color w:val="000000" w:themeColor="text1"/>
                <w:sz w:val="28"/>
                <w:szCs w:val="28"/>
              </w:rPr>
              <w:t xml:space="preserve"> tháng </w:t>
            </w:r>
            <w:r w:rsidR="00E00BCF">
              <w:rPr>
                <w:i/>
                <w:iCs/>
                <w:color w:val="000000" w:themeColor="text1"/>
                <w:sz w:val="28"/>
                <w:szCs w:val="28"/>
              </w:rPr>
              <w:t>5</w:t>
            </w:r>
            <w:r w:rsidR="007A3256" w:rsidRPr="009E22C5">
              <w:rPr>
                <w:i/>
                <w:iCs/>
                <w:color w:val="000000" w:themeColor="text1"/>
                <w:sz w:val="28"/>
                <w:szCs w:val="28"/>
              </w:rPr>
              <w:t xml:space="preserve"> năm 2025</w:t>
            </w:r>
          </w:p>
        </w:tc>
      </w:tr>
    </w:tbl>
    <w:p w:rsidR="007A3256" w:rsidRPr="00230C7D" w:rsidRDefault="007A3256" w:rsidP="00230C7D">
      <w:pPr>
        <w:jc w:val="center"/>
        <w:rPr>
          <w:rFonts w:ascii="Times New Roman" w:hAnsi="Times New Roman" w:cs="Times New Roman"/>
          <w:b/>
          <w:color w:val="000000" w:themeColor="text1"/>
          <w:sz w:val="20"/>
          <w:szCs w:val="20"/>
        </w:rPr>
      </w:pPr>
    </w:p>
    <w:p w:rsidR="009E22C5" w:rsidRPr="009E22C5" w:rsidRDefault="009E22C5" w:rsidP="009E22C5">
      <w:pPr>
        <w:spacing w:after="0"/>
        <w:jc w:val="center"/>
        <w:rPr>
          <w:rFonts w:ascii="Times New Roman" w:hAnsi="Times New Roman" w:cs="Times New Roman"/>
          <w:b/>
          <w:sz w:val="28"/>
          <w:szCs w:val="28"/>
        </w:rPr>
      </w:pPr>
      <w:r w:rsidRPr="009E22C5">
        <w:rPr>
          <w:rFonts w:ascii="Times New Roman" w:hAnsi="Times New Roman" w:cs="Times New Roman"/>
          <w:b/>
          <w:sz w:val="28"/>
          <w:szCs w:val="28"/>
        </w:rPr>
        <w:t>PHỤ LỤC II</w:t>
      </w:r>
    </w:p>
    <w:p w:rsidR="00E00BCF" w:rsidRDefault="00E00BCF" w:rsidP="007318EC">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Bảng tổng hợp quy định về thẩm quyền, trách nhiệm của chính quyền cấp huyện chuyển </w:t>
      </w:r>
    </w:p>
    <w:p w:rsidR="00FE2788" w:rsidRDefault="00E00BCF" w:rsidP="00FE2788">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chính quyền cấp xã </w:t>
      </w:r>
      <w:r w:rsidR="009E22C5" w:rsidRPr="009E22C5">
        <w:rPr>
          <w:rFonts w:ascii="Times New Roman" w:hAnsi="Times New Roman" w:cs="Times New Roman"/>
          <w:b/>
          <w:sz w:val="28"/>
          <w:szCs w:val="28"/>
        </w:rPr>
        <w:t xml:space="preserve">trong lĩnh vực nông nghiệp và môi trường </w:t>
      </w:r>
    </w:p>
    <w:p w:rsidR="000D34B2" w:rsidRDefault="001E5450" w:rsidP="00FE2788">
      <w:pPr>
        <w:spacing w:after="0"/>
        <w:jc w:val="center"/>
        <w:rPr>
          <w:rFonts w:ascii="Times New Roman Bold" w:hAnsi="Times New Roman Bold" w:cs="Times New Roman"/>
          <w:i/>
          <w:spacing w:val="-4"/>
          <w:sz w:val="28"/>
          <w:szCs w:val="28"/>
        </w:rPr>
      </w:pPr>
      <w:r w:rsidRPr="00FE2788">
        <w:rPr>
          <w:rFonts w:ascii="Times New Roman Bold" w:hAnsi="Times New Roman Bold" w:cs="Times New Roman"/>
          <w:i/>
          <w:spacing w:val="-4"/>
          <w:sz w:val="28"/>
          <w:szCs w:val="28"/>
        </w:rPr>
        <w:t>(Kèm theo Tờ trình số:      /TTr-BNNMT ngày   tháng 5 năm 2025 của Bộ Nông nghiệp và Môi trường)</w:t>
      </w:r>
    </w:p>
    <w:p w:rsidR="00FE2788" w:rsidRDefault="00FE2788" w:rsidP="00FE2788">
      <w:pPr>
        <w:spacing w:after="0"/>
        <w:jc w:val="center"/>
        <w:rPr>
          <w:rFonts w:ascii="Times New Roman Bold" w:hAnsi="Times New Roman Bold" w:cs="Times New Roman"/>
          <w:i/>
          <w:spacing w:val="-4"/>
          <w:sz w:val="28"/>
          <w:szCs w:val="28"/>
        </w:rPr>
      </w:pPr>
    </w:p>
    <w:tbl>
      <w:tblPr>
        <w:tblStyle w:val="TableGrid"/>
        <w:tblW w:w="14885" w:type="dxa"/>
        <w:jc w:val="center"/>
        <w:tblLayout w:type="fixed"/>
        <w:tblLook w:val="04A0" w:firstRow="1" w:lastRow="0" w:firstColumn="1" w:lastColumn="0" w:noHBand="0" w:noVBand="1"/>
      </w:tblPr>
      <w:tblGrid>
        <w:gridCol w:w="846"/>
        <w:gridCol w:w="14039"/>
      </w:tblGrid>
      <w:tr w:rsidR="00E00BCF" w:rsidRPr="00E00BCF" w:rsidTr="00091924">
        <w:trPr>
          <w:trHeight w:val="659"/>
          <w:jc w:val="center"/>
        </w:trPr>
        <w:tc>
          <w:tcPr>
            <w:tcW w:w="846" w:type="dxa"/>
            <w:shd w:val="clear" w:color="auto" w:fill="auto"/>
            <w:vAlign w:val="center"/>
          </w:tcPr>
          <w:p w:rsidR="00E00BCF" w:rsidRPr="00091924" w:rsidRDefault="00E00BCF" w:rsidP="008B7646">
            <w:pPr>
              <w:jc w:val="center"/>
              <w:rPr>
                <w:rFonts w:ascii="Times New Roman" w:eastAsia="Times New Roman" w:hAnsi="Times New Roman" w:cs="Times New Roman"/>
                <w:b/>
                <w:bCs/>
                <w:sz w:val="24"/>
                <w:szCs w:val="24"/>
              </w:rPr>
            </w:pPr>
            <w:bookmarkStart w:id="0" w:name="_GoBack"/>
            <w:bookmarkEnd w:id="0"/>
            <w:r w:rsidRPr="00091924">
              <w:rPr>
                <w:rFonts w:ascii="Times New Roman" w:eastAsia="Times New Roman" w:hAnsi="Times New Roman" w:cs="Times New Roman"/>
                <w:b/>
                <w:bCs/>
                <w:sz w:val="24"/>
                <w:szCs w:val="24"/>
              </w:rPr>
              <w:t>TT</w:t>
            </w:r>
          </w:p>
        </w:tc>
        <w:tc>
          <w:tcPr>
            <w:tcW w:w="14039" w:type="dxa"/>
            <w:shd w:val="clear" w:color="auto" w:fill="auto"/>
            <w:vAlign w:val="center"/>
          </w:tcPr>
          <w:p w:rsidR="00E00BCF" w:rsidRPr="00E00BCF" w:rsidRDefault="00E00BCF" w:rsidP="008B7646">
            <w:pPr>
              <w:jc w:val="center"/>
              <w:rPr>
                <w:rFonts w:ascii="Times New Roman" w:eastAsia="Times New Roman" w:hAnsi="Times New Roman" w:cs="Times New Roman"/>
                <w:b/>
                <w:bCs/>
                <w:sz w:val="24"/>
                <w:szCs w:val="24"/>
              </w:rPr>
            </w:pPr>
            <w:r w:rsidRPr="00E00BCF">
              <w:rPr>
                <w:rFonts w:ascii="Times New Roman" w:eastAsia="Times New Roman" w:hAnsi="Times New Roman" w:cs="Times New Roman"/>
                <w:b/>
                <w:bCs/>
                <w:sz w:val="24"/>
                <w:szCs w:val="24"/>
                <w:lang w:val="vi-VN"/>
              </w:rPr>
              <w:t>Quy định</w:t>
            </w:r>
            <w:r w:rsidRPr="00E00BCF">
              <w:rPr>
                <w:rFonts w:ascii="Times New Roman" w:eastAsia="Times New Roman" w:hAnsi="Times New Roman" w:cs="Times New Roman"/>
                <w:b/>
                <w:bCs/>
                <w:sz w:val="24"/>
                <w:szCs w:val="24"/>
              </w:rPr>
              <w:t xml:space="preserve"> hiện hành tại VBQPPL</w:t>
            </w:r>
          </w:p>
        </w:tc>
      </w:tr>
      <w:tr w:rsidR="00E00BCF" w:rsidRPr="00E00BCF" w:rsidTr="00091924">
        <w:trPr>
          <w:trHeight w:val="541"/>
          <w:jc w:val="center"/>
        </w:trPr>
        <w:tc>
          <w:tcPr>
            <w:tcW w:w="846" w:type="dxa"/>
            <w:shd w:val="clear" w:color="auto" w:fill="auto"/>
            <w:vAlign w:val="center"/>
          </w:tcPr>
          <w:p w:rsidR="00E00BCF" w:rsidRPr="00091924" w:rsidRDefault="00E00BCF" w:rsidP="008B7646">
            <w:pPr>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B7646">
            <w:pPr>
              <w:jc w:val="both"/>
              <w:rPr>
                <w:rFonts w:ascii="Times New Roman" w:hAnsi="Times New Roman" w:cs="Times New Roman"/>
                <w:b/>
                <w:sz w:val="24"/>
                <w:szCs w:val="24"/>
              </w:rPr>
            </w:pPr>
            <w:r w:rsidRPr="00E00BCF">
              <w:rPr>
                <w:rFonts w:ascii="Times New Roman" w:hAnsi="Times New Roman" w:cs="Times New Roman"/>
                <w:b/>
                <w:sz w:val="24"/>
                <w:szCs w:val="24"/>
              </w:rPr>
              <w:t>LĨNH VỰC CHĂN NUÔI VÀ THÚ Y</w:t>
            </w:r>
          </w:p>
        </w:tc>
      </w:tr>
      <w:tr w:rsidR="00E00BCF" w:rsidRPr="00E00BCF" w:rsidTr="00091924">
        <w:trPr>
          <w:trHeight w:val="467"/>
          <w:jc w:val="center"/>
        </w:trPr>
        <w:tc>
          <w:tcPr>
            <w:tcW w:w="846" w:type="dxa"/>
            <w:shd w:val="clear" w:color="auto" w:fill="auto"/>
            <w:vAlign w:val="center"/>
          </w:tcPr>
          <w:p w:rsidR="00E00BCF" w:rsidRPr="00091924" w:rsidRDefault="00E00BCF" w:rsidP="008B7646">
            <w:pPr>
              <w:pStyle w:val="ListParagraph"/>
              <w:numPr>
                <w:ilvl w:val="0"/>
                <w:numId w:val="1"/>
              </w:numPr>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B7646">
            <w:pPr>
              <w:jc w:val="both"/>
              <w:rPr>
                <w:rFonts w:ascii="Times New Roman" w:hAnsi="Times New Roman" w:cs="Times New Roman"/>
                <w:bCs/>
                <w:sz w:val="24"/>
                <w:szCs w:val="24"/>
              </w:rPr>
            </w:pPr>
            <w:r w:rsidRPr="00E00BCF">
              <w:rPr>
                <w:rFonts w:ascii="Times New Roman" w:hAnsi="Times New Roman" w:cs="Times New Roman"/>
                <w:b/>
                <w:sz w:val="24"/>
                <w:szCs w:val="24"/>
                <w:lang w:val="vi-VN"/>
              </w:rPr>
              <w:t>Luật Chăn nuôi</w:t>
            </w:r>
          </w:p>
        </w:tc>
      </w:tr>
      <w:tr w:rsidR="00E00BCF" w:rsidRPr="00E00BCF" w:rsidTr="00091924">
        <w:trPr>
          <w:trHeight w:val="276"/>
          <w:jc w:val="center"/>
        </w:trPr>
        <w:tc>
          <w:tcPr>
            <w:tcW w:w="846" w:type="dxa"/>
            <w:shd w:val="clear" w:color="auto" w:fill="auto"/>
          </w:tcPr>
          <w:p w:rsidR="00E00BCF" w:rsidRPr="00091924" w:rsidRDefault="00E00BCF" w:rsidP="00DB12C8">
            <w:pPr>
              <w:rPr>
                <w:rFonts w:ascii="Times New Roman" w:hAnsi="Times New Roman" w:cs="Times New Roman"/>
                <w:b/>
                <w:sz w:val="24"/>
                <w:szCs w:val="24"/>
              </w:rPr>
            </w:pPr>
          </w:p>
        </w:tc>
        <w:tc>
          <w:tcPr>
            <w:tcW w:w="14039" w:type="dxa"/>
            <w:shd w:val="clear" w:color="auto" w:fill="auto"/>
          </w:tcPr>
          <w:p w:rsidR="00E00BCF" w:rsidRPr="00E00BCF" w:rsidRDefault="00E00BCF" w:rsidP="008B7646">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80</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cấp huyện, trong phạm vi nhiệm vụ, quyền hạn của mình, có trách nhiệm sau đây:</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Chỉ đạo, tổ chức tuyên truyền, phổ biến kiến thức giáo dục pháp luật về chăn nuôi;</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Giao đất, cho thuê đất, tạo quỹ đất theo thẩm quyền để phát triển chăn nuôi và trồng cây nguyên liệu thức ăn chăn nuôi;</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Tổ chức quản lý, phát triển chăn nuôi tại địa phương; thống kê, đánh giá và hỗ trợ thiệt hại cho cơ sở chăn nuôi sau thiên tai, dịch bệnh;</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Thanh tra, kiểm tra, giải quyết khiếu nại, tố cáo, xử lý vi phạm pháp luật về chăn nuôi trong địa bàn huyện theo thẩm quyền.</w:t>
            </w:r>
          </w:p>
        </w:tc>
      </w:tr>
      <w:tr w:rsidR="00E00BCF" w:rsidRPr="00E00BCF" w:rsidTr="00091924">
        <w:trPr>
          <w:trHeight w:val="632"/>
          <w:jc w:val="center"/>
        </w:trPr>
        <w:tc>
          <w:tcPr>
            <w:tcW w:w="846" w:type="dxa"/>
            <w:shd w:val="clear" w:color="auto" w:fill="auto"/>
            <w:vAlign w:val="center"/>
          </w:tcPr>
          <w:p w:rsidR="00E00BCF" w:rsidRPr="00091924" w:rsidRDefault="00E00BCF" w:rsidP="008B7646">
            <w:pPr>
              <w:pStyle w:val="ListParagraph"/>
              <w:numPr>
                <w:ilvl w:val="0"/>
                <w:numId w:val="1"/>
              </w:numPr>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B7646">
            <w:pPr>
              <w:jc w:val="both"/>
              <w:rPr>
                <w:rFonts w:ascii="Times New Roman" w:hAnsi="Times New Roman" w:cs="Times New Roman"/>
                <w:b/>
                <w:bCs/>
                <w:sz w:val="24"/>
                <w:szCs w:val="24"/>
                <w:lang w:val="vi-VN"/>
              </w:rPr>
            </w:pPr>
            <w:r w:rsidRPr="00E00BCF">
              <w:rPr>
                <w:rFonts w:ascii="Times New Roman" w:hAnsi="Times New Roman" w:cs="Times New Roman"/>
                <w:b/>
                <w:bCs/>
                <w:sz w:val="24"/>
                <w:szCs w:val="24"/>
              </w:rPr>
              <w:t>L</w:t>
            </w:r>
            <w:r w:rsidRPr="00E00BCF">
              <w:rPr>
                <w:rFonts w:ascii="Times New Roman" w:hAnsi="Times New Roman" w:cs="Times New Roman"/>
                <w:b/>
                <w:bCs/>
                <w:sz w:val="24"/>
                <w:szCs w:val="24"/>
                <w:lang w:val="vi-VN"/>
              </w:rPr>
              <w:t>uật Thú y</w:t>
            </w:r>
          </w:p>
        </w:tc>
      </w:tr>
      <w:tr w:rsidR="00E00BCF" w:rsidRPr="00E00BCF" w:rsidTr="00091924">
        <w:trPr>
          <w:trHeight w:val="1691"/>
          <w:jc w:val="center"/>
        </w:trPr>
        <w:tc>
          <w:tcPr>
            <w:tcW w:w="846" w:type="dxa"/>
            <w:shd w:val="clear" w:color="auto" w:fill="auto"/>
          </w:tcPr>
          <w:p w:rsidR="00E00BCF" w:rsidRPr="00091924" w:rsidRDefault="00E00BCF" w:rsidP="008B7646">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B7646">
            <w:pPr>
              <w:shd w:val="clear" w:color="auto" w:fill="FFFFFF"/>
              <w:jc w:val="both"/>
              <w:rPr>
                <w:rFonts w:ascii="Times New Roman" w:eastAsia="Times New Roman" w:hAnsi="Times New Roman" w:cs="Times New Roman"/>
                <w:b/>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 xml:space="preserve">hoản 2 Điều </w:t>
            </w:r>
            <w:r w:rsidRPr="00E00BCF">
              <w:rPr>
                <w:rFonts w:ascii="Times New Roman" w:hAnsi="Times New Roman" w:cs="Times New Roman"/>
                <w:b/>
                <w:bCs/>
                <w:sz w:val="24"/>
                <w:szCs w:val="24"/>
                <w:lang w:val="vi-VN"/>
              </w:rPr>
              <w:t>9</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huyện, quận, thị xã, thành phố thuộc tỉnh và đơn vị hành chính tương đương (sau đây gọi chung là cấp huyện) có trách nhiệm sau đây:</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Chỉ đạo, tổ chức tuyên truyền, phổ biến kiến thức, giáo dục pháp luật về thú y;</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Yêu cầu cơ quan quản lý chuyên ngành thú y cấp huyện giám sát, dự báo, cảnh báo dịch bệnh động vật;</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Bố trí kinh phí và tổ chức phòng, chống dịch bệnh động vật; thống kê, đánh giá, hỗ trợ thiệt hại cho người chăn nuôi, nuôi trồng thủy sản sau dịch bệnh động vật;</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d) Chỉ đạo, tổ chức thanh tra, kiểm tra hoạt động thú y, giải quyết khiếu nại, tố cáo, xử lý vi phạm pháp luật về thú y theo thẩm quyền.</w:t>
            </w:r>
          </w:p>
        </w:tc>
      </w:tr>
      <w:tr w:rsidR="00E00BCF" w:rsidRPr="00E00BCF" w:rsidTr="00091924">
        <w:trPr>
          <w:jc w:val="center"/>
        </w:trPr>
        <w:tc>
          <w:tcPr>
            <w:tcW w:w="846" w:type="dxa"/>
            <w:shd w:val="clear" w:color="auto" w:fill="auto"/>
          </w:tcPr>
          <w:p w:rsidR="00E00BCF" w:rsidRPr="00091924" w:rsidRDefault="00E00BCF" w:rsidP="008B7646">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B7646">
            <w:pPr>
              <w:tabs>
                <w:tab w:val="left" w:pos="178"/>
              </w:tabs>
              <w:jc w:val="both"/>
              <w:rPr>
                <w:rFonts w:ascii="Times New Roman" w:hAnsi="Times New Roman" w:cs="Times New Roman"/>
                <w:b/>
                <w:bCs/>
                <w:sz w:val="24"/>
                <w:szCs w:val="24"/>
              </w:rPr>
            </w:pPr>
            <w:r w:rsidRPr="00E00BCF">
              <w:rPr>
                <w:rFonts w:ascii="Times New Roman" w:hAnsi="Times New Roman" w:cs="Times New Roman"/>
                <w:b/>
                <w:bCs/>
                <w:sz w:val="24"/>
                <w:szCs w:val="24"/>
              </w:rPr>
              <w:t>khoản 4 Điều 25</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Ủy ban nhân dân cấp huyện có trách nhiệm sau đây:</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Bố trí kinh phí xử lý ổ dịch bệnh động vật;</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Yêu cầu cơ quan quản lý chuyên ngành thú y cấp huyện, chỉ đạo các phòng, ban, ngành có liên quan xác định ổ dịch bệnh động vật, thông báo trên phương tiện truyền thông của địa phương và hướng dẫn thực hiện các biện pháp vệ sinh thú y trong chăn nuôi, giết mổ, vận chuyển, kinh doanh động vật, sản phẩm động vật;</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Chỉ đạo Ủy ban nhân dân cấp xã thực hiện quy định tại khoản 3 Điều này.</w:t>
            </w:r>
          </w:p>
        </w:tc>
      </w:tr>
      <w:tr w:rsidR="00E00BCF" w:rsidRPr="00E00BCF" w:rsidTr="00091924">
        <w:trPr>
          <w:jc w:val="center"/>
        </w:trPr>
        <w:tc>
          <w:tcPr>
            <w:tcW w:w="846" w:type="dxa"/>
            <w:shd w:val="clear" w:color="auto" w:fill="auto"/>
          </w:tcPr>
          <w:p w:rsidR="00E00BCF" w:rsidRPr="00091924" w:rsidRDefault="00E00BCF" w:rsidP="00F01E45">
            <w:pPr>
              <w:ind w:left="360"/>
              <w:rPr>
                <w:rFonts w:ascii="Times New Roman" w:hAnsi="Times New Roman" w:cs="Times New Roman"/>
                <w:b/>
                <w:sz w:val="24"/>
                <w:szCs w:val="24"/>
              </w:rPr>
            </w:pPr>
          </w:p>
        </w:tc>
        <w:tc>
          <w:tcPr>
            <w:tcW w:w="14039" w:type="dxa"/>
            <w:shd w:val="clear" w:color="auto" w:fill="auto"/>
          </w:tcPr>
          <w:p w:rsidR="00E00BCF" w:rsidRPr="00E00BCF" w:rsidRDefault="00E00BCF" w:rsidP="00F01E45">
            <w:pPr>
              <w:jc w:val="both"/>
              <w:rPr>
                <w:rFonts w:ascii="Times New Roman" w:hAnsi="Times New Roman" w:cs="Times New Roman"/>
                <w:b/>
                <w:bCs/>
                <w:sz w:val="24"/>
                <w:szCs w:val="24"/>
                <w:lang w:val="vi-VN"/>
              </w:rPr>
            </w:pPr>
            <w:r w:rsidRPr="00E00BCF">
              <w:rPr>
                <w:rFonts w:ascii="Times New Roman" w:hAnsi="Times New Roman" w:cs="Times New Roman"/>
                <w:b/>
                <w:bCs/>
                <w:sz w:val="24"/>
                <w:szCs w:val="24"/>
              </w:rPr>
              <w:t>Điểm a khoản 4 Điều 26</w:t>
            </w:r>
            <w:r w:rsidRPr="00E00BCF">
              <w:rPr>
                <w:rFonts w:ascii="Times New Roman" w:hAnsi="Times New Roman" w:cs="Times New Roman"/>
                <w:b/>
                <w:bCs/>
                <w:sz w:val="24"/>
                <w:szCs w:val="24"/>
                <w:lang w:val="vi-VN"/>
              </w:rPr>
              <w:t>:</w:t>
            </w:r>
          </w:p>
          <w:p w:rsidR="00E00BCF" w:rsidRPr="00E00BCF" w:rsidRDefault="00E00BCF" w:rsidP="00F01E45">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Thẩm quyền công bố dịch bệnh động vật trên cạn được quy định như sau:</w:t>
            </w:r>
          </w:p>
          <w:p w:rsidR="00E00BCF" w:rsidRPr="00E00BCF" w:rsidRDefault="00E00BCF" w:rsidP="00F01E45">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Chủ tịch Ủy ban nhân dân cấp huyện căn cứ đề nghị của cơ quan quản lý chuyên ngành thú y cấp huyện quyết định, công bố dịch bệnh động vật khi có đủ điều kiện quy định tại khoản 2 Điều này và dịch bệnh xảy ra trong phạm vi huyện;</w:t>
            </w:r>
          </w:p>
        </w:tc>
      </w:tr>
      <w:tr w:rsidR="00E00BCF" w:rsidRPr="00E00BCF" w:rsidTr="00091924">
        <w:trPr>
          <w:jc w:val="center"/>
        </w:trPr>
        <w:tc>
          <w:tcPr>
            <w:tcW w:w="846" w:type="dxa"/>
            <w:shd w:val="clear" w:color="auto" w:fill="auto"/>
          </w:tcPr>
          <w:p w:rsidR="00E00BCF" w:rsidRPr="00091924" w:rsidRDefault="00E00BCF" w:rsidP="00F01E45">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F01E45">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5 Điều 26</w:t>
            </w:r>
          </w:p>
          <w:p w:rsidR="00E00BCF" w:rsidRPr="00E00BCF" w:rsidRDefault="00E00BCF" w:rsidP="00F01E45">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5. Bộ trưởng Bộ Nông nghiệp và Phát triển nông thôn căn cứ đề nghị của Cục Thú y quyết định công bố dịch bệnh động vật khi có đủ điều kiện quy định tại khoản 2 Điều này và dịch bệnh xảy ra từ hai tỉnh trở lên; kiểm tra, đôn đốc, giám sát việc công bố dịch của Chủ tịch Ủy ban nhân dân cấp huyện, cấp tỉnh.</w:t>
            </w:r>
          </w:p>
        </w:tc>
      </w:tr>
      <w:tr w:rsidR="00E00BCF" w:rsidRPr="00E00BCF" w:rsidTr="00091924">
        <w:trPr>
          <w:jc w:val="center"/>
        </w:trPr>
        <w:tc>
          <w:tcPr>
            <w:tcW w:w="846" w:type="dxa"/>
            <w:shd w:val="clear" w:color="auto" w:fill="auto"/>
          </w:tcPr>
          <w:p w:rsidR="00E00BCF" w:rsidRPr="00091924" w:rsidRDefault="00E00BCF" w:rsidP="00F01E45">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F01E45">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a khoản 3 Điều 27</w:t>
            </w:r>
          </w:p>
          <w:p w:rsidR="00E00BCF" w:rsidRPr="00E00BCF" w:rsidRDefault="00E00BCF" w:rsidP="00F01E45">
            <w:pPr>
              <w:jc w:val="both"/>
              <w:rPr>
                <w:rFonts w:ascii="Times New Roman" w:hAnsi="Times New Roman" w:cs="Times New Roman"/>
                <w:b/>
                <w:bCs/>
                <w:sz w:val="24"/>
                <w:szCs w:val="24"/>
                <w:lang w:val="vi-VN"/>
              </w:rPr>
            </w:pPr>
            <w:r w:rsidRPr="00E00BCF">
              <w:rPr>
                <w:rFonts w:ascii="Times New Roman" w:hAnsi="Times New Roman" w:cs="Times New Roman"/>
                <w:sz w:val="24"/>
                <w:szCs w:val="24"/>
                <w:shd w:val="clear" w:color="auto" w:fill="FFFFFF"/>
              </w:rPr>
              <w:t>a) Chỉ đạo Ủy ban nhân dân cấp huyện, cơ quan quản lý chuyên ngành thú y cấp tỉnh, cơ quan, tổ chức, cá nhân có liên quan thực hiện các biện pháp phòng, chống dịch bệnh động vật; huy động nguồn lực tại địa phương để phòng, chống dịch bệnh động vật; thanh tra, kiểm tra việc thực hiện phòng, chống dịch bệnh động vật;</w:t>
            </w:r>
          </w:p>
        </w:tc>
      </w:tr>
      <w:tr w:rsidR="00E00BCF" w:rsidRPr="00E00BCF" w:rsidTr="00091924">
        <w:trPr>
          <w:jc w:val="center"/>
        </w:trPr>
        <w:tc>
          <w:tcPr>
            <w:tcW w:w="846" w:type="dxa"/>
            <w:shd w:val="clear" w:color="auto" w:fill="auto"/>
          </w:tcPr>
          <w:p w:rsidR="00E00BCF" w:rsidRPr="00091924" w:rsidRDefault="00E00BCF" w:rsidP="008B7646">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B7646">
            <w:pPr>
              <w:tabs>
                <w:tab w:val="left" w:pos="178"/>
              </w:tabs>
              <w:jc w:val="both"/>
              <w:rPr>
                <w:rFonts w:ascii="Times New Roman" w:hAnsi="Times New Roman" w:cs="Times New Roman"/>
                <w:b/>
                <w:bCs/>
                <w:sz w:val="24"/>
                <w:szCs w:val="24"/>
                <w:lang w:val="vi-VN"/>
              </w:rPr>
            </w:pPr>
            <w:r w:rsidRPr="00E00BCF">
              <w:rPr>
                <w:rFonts w:ascii="Times New Roman" w:hAnsi="Times New Roman" w:cs="Times New Roman"/>
                <w:b/>
                <w:bCs/>
                <w:sz w:val="24"/>
                <w:szCs w:val="24"/>
                <w:lang w:val="vi-VN"/>
              </w:rPr>
              <w:t xml:space="preserve">khoản </w:t>
            </w:r>
            <w:r w:rsidRPr="00E00BCF">
              <w:rPr>
                <w:rFonts w:ascii="Times New Roman" w:hAnsi="Times New Roman" w:cs="Times New Roman"/>
                <w:b/>
                <w:bCs/>
                <w:sz w:val="24"/>
                <w:szCs w:val="24"/>
              </w:rPr>
              <w:t>4</w:t>
            </w:r>
            <w:r w:rsidRPr="00E00BCF">
              <w:rPr>
                <w:rFonts w:ascii="Times New Roman" w:hAnsi="Times New Roman" w:cs="Times New Roman"/>
                <w:b/>
                <w:bCs/>
                <w:sz w:val="24"/>
                <w:szCs w:val="24"/>
                <w:lang w:val="vi-VN"/>
              </w:rPr>
              <w:t xml:space="preserve"> Điều 27</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Chủ tịch Ủy ban nhân dân cấp huyện có trách nhiệm sau đây:</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Chỉ đạo, tổ chức thực hiện các biện pháp phòng, chống dịch bệnh động vật theo chỉ đạo của Chủ tịch Ủy ban nhân dân cấp tỉnh;</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Tổ chức tuyên truyền, phổ biến các biện pháp phòng, chống dịch bệnh động vật trên địa bàn;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Thực hiện chính sách hỗ trợ phòng, chống dịch bệnh động vật, khắc phục hậu quả do dịch bệnh gây ra, ổn định đời sống và khôi phục chăn nuôi trên địa bàn;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Trình Chủ tịch Ủy ban nhân dân cấp tỉnh quyết định hỗ trợ kinh phí, vật tư và nguồn lực khi yêu cầu phòng, chống dịch bệnh động vật vượt quá khả năng của địa phương;</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đ) Báo cáo Chủ tịch Ủy ban nhân dân cấp tỉnh về kết quả phòng, chống dịch bệnh động vật và việc thực hiện chính sách hỗ trợ phòng, chống dịch, khắc phục hậu quả do dịch bệnh gây ra và khôi phục chăn nuôi trên địa bàn.</w:t>
            </w:r>
          </w:p>
        </w:tc>
      </w:tr>
      <w:tr w:rsidR="00E00BCF" w:rsidRPr="00E00BCF" w:rsidTr="00091924">
        <w:trPr>
          <w:jc w:val="center"/>
        </w:trPr>
        <w:tc>
          <w:tcPr>
            <w:tcW w:w="846" w:type="dxa"/>
            <w:shd w:val="clear" w:color="auto" w:fill="auto"/>
          </w:tcPr>
          <w:p w:rsidR="00E00BCF" w:rsidRPr="00091924" w:rsidRDefault="00E00BCF" w:rsidP="00F01E45">
            <w:pPr>
              <w:ind w:left="360"/>
              <w:rPr>
                <w:rFonts w:ascii="Times New Roman" w:hAnsi="Times New Roman" w:cs="Times New Roman"/>
                <w:b/>
                <w:sz w:val="24"/>
                <w:szCs w:val="24"/>
              </w:rPr>
            </w:pPr>
          </w:p>
        </w:tc>
        <w:tc>
          <w:tcPr>
            <w:tcW w:w="14039" w:type="dxa"/>
            <w:shd w:val="clear" w:color="auto" w:fill="auto"/>
          </w:tcPr>
          <w:p w:rsidR="00E00BCF" w:rsidRPr="00E00BCF" w:rsidRDefault="00E00BCF" w:rsidP="00F01E45">
            <w:pPr>
              <w:jc w:val="both"/>
              <w:rPr>
                <w:rFonts w:ascii="Times New Roman" w:hAnsi="Times New Roman" w:cs="Times New Roman"/>
                <w:b/>
                <w:spacing w:val="3"/>
                <w:sz w:val="24"/>
                <w:szCs w:val="24"/>
                <w:shd w:val="clear" w:color="auto" w:fill="FFFFFF"/>
              </w:rPr>
            </w:pPr>
            <w:r w:rsidRPr="00E00BCF">
              <w:rPr>
                <w:rFonts w:ascii="Times New Roman" w:hAnsi="Times New Roman" w:cs="Times New Roman"/>
                <w:b/>
                <w:spacing w:val="3"/>
                <w:sz w:val="24"/>
                <w:szCs w:val="24"/>
                <w:shd w:val="clear" w:color="auto" w:fill="FFFFFF"/>
              </w:rPr>
              <w:t>khoản 2 Điều 31</w:t>
            </w:r>
          </w:p>
          <w:p w:rsidR="00E00BCF" w:rsidRPr="00E00BCF" w:rsidRDefault="00E00BCF" w:rsidP="00F01E45">
            <w:pPr>
              <w:jc w:val="both"/>
              <w:rPr>
                <w:rFonts w:ascii="Times New Roman" w:hAnsi="Times New Roman" w:cs="Times New Roman"/>
                <w:b/>
                <w:bCs/>
                <w:sz w:val="24"/>
                <w:szCs w:val="24"/>
              </w:rPr>
            </w:pPr>
            <w:r w:rsidRPr="00E00BCF">
              <w:rPr>
                <w:rFonts w:ascii="Times New Roman" w:hAnsi="Times New Roman" w:cs="Times New Roman"/>
                <w:sz w:val="24"/>
                <w:szCs w:val="24"/>
                <w:shd w:val="clear" w:color="auto" w:fill="FFFFFF"/>
              </w:rPr>
              <w:t>2. Người có thẩm quyền công bố dịch bệnh động vật quy định tại Điều 26 của Luật này có thẩm quyền công bố hết dịch bệnh động vật khi có đủ điều kiện quy định tại khoản 1 Điều này.</w:t>
            </w:r>
          </w:p>
        </w:tc>
      </w:tr>
      <w:tr w:rsidR="00E00BCF" w:rsidRPr="00E00BCF" w:rsidTr="00091924">
        <w:trPr>
          <w:jc w:val="center"/>
        </w:trPr>
        <w:tc>
          <w:tcPr>
            <w:tcW w:w="846" w:type="dxa"/>
            <w:shd w:val="clear" w:color="auto" w:fill="auto"/>
          </w:tcPr>
          <w:p w:rsidR="00E00BCF" w:rsidRPr="00091924" w:rsidRDefault="00E00BCF" w:rsidP="008B7646">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B7646">
            <w:pPr>
              <w:tabs>
                <w:tab w:val="left" w:pos="178"/>
              </w:tabs>
              <w:jc w:val="both"/>
              <w:rPr>
                <w:rFonts w:ascii="Times New Roman" w:hAnsi="Times New Roman" w:cs="Times New Roman"/>
                <w:b/>
                <w:bCs/>
                <w:sz w:val="24"/>
                <w:szCs w:val="24"/>
                <w:lang w:val="vi-VN"/>
              </w:rPr>
            </w:pPr>
            <w:r w:rsidRPr="00E00BCF">
              <w:rPr>
                <w:rFonts w:ascii="Times New Roman" w:hAnsi="Times New Roman" w:cs="Times New Roman"/>
                <w:b/>
                <w:bCs/>
                <w:sz w:val="24"/>
                <w:szCs w:val="24"/>
                <w:lang w:val="vi-VN"/>
              </w:rPr>
              <w:t>khoản 5 Điều 33</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5. Ủy ban nhân dân cấp huyện có trách nhiệm sau đây:</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Thông báo kịp thời, chính xác về tình hình dịch bệnh động vật xảy ra trên địa bàn huyện căn cứ vào kết luận của cơ quan có thẩm quyền chẩn đoán xét nghiệm bệnh động vật đối với các bệnh thuộc Danh mục bệnh động vật phải công bố dịch và đề nghị của cơ quan quản lý chuyên ngành thú y cấp huyện;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Tổ chức phòng bệnh, xử lý động vật thủy sản mắc bệnh; vệ sinh, khử trùng, tiêu độc môi trường nuôi trồng thủy sản theo quy định đối với từng bệnh;</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Hướng dẫn chủ cơ sở nuôi trồng thủy sản, người mua bán, vận chuyển động vật thủy sản thực hiện các biện pháp vệ sinh thú y để ngăn chặn dịch bệnh động vật lây lan;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Thực hiện chính sách hỗ trợ phòng, chống dịch bệnh động vật, khắc phục hậu quả do dịch bệnh động vật gây ra và khôi phục nuôi trồng thủy sản trên địa bàn;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Tổ chức thực hiện các biện pháp phòng, chống dịch bệnh động vật theo chỉ đạo của Ủy ban nhân dân cấp tỉnh;</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Tổ chức tuyên truyền, phổ biến các biện pháp phòng, chống dịch bệnh động vật trên địa bàn;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g) Trình Chủ tịch Ủy ban nhân dân cấp tỉnh quyết định hỗ trợ kinh phí, vật tư và nguồn lực khi yêu cầu phòng, chống dịch bệnh động vật vượt quá khả năng của địa phương;</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 Báo cáo Chủ tịch Ủy ban nhân dân cấp tỉnh về kết quả phòng, chống dịch bệnh động vật và việc thực hiện chính sách hỗ trợ phòng, chống dịch bệnh động vật.</w:t>
            </w:r>
          </w:p>
        </w:tc>
      </w:tr>
      <w:tr w:rsidR="00E00BCF" w:rsidRPr="00E00BCF" w:rsidTr="00091924">
        <w:trPr>
          <w:jc w:val="center"/>
        </w:trPr>
        <w:tc>
          <w:tcPr>
            <w:tcW w:w="846" w:type="dxa"/>
            <w:shd w:val="clear" w:color="auto" w:fill="auto"/>
          </w:tcPr>
          <w:p w:rsidR="00E00BCF" w:rsidRPr="00091924" w:rsidRDefault="00E00BCF" w:rsidP="008B7646">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B7646">
            <w:pPr>
              <w:tabs>
                <w:tab w:val="left" w:pos="178"/>
              </w:tabs>
              <w:jc w:val="both"/>
              <w:rPr>
                <w:rFonts w:ascii="Times New Roman" w:hAnsi="Times New Roman" w:cs="Times New Roman"/>
                <w:b/>
                <w:bCs/>
                <w:sz w:val="24"/>
                <w:szCs w:val="24"/>
                <w:lang w:val="vi-VN"/>
              </w:rPr>
            </w:pPr>
            <w:r w:rsidRPr="00E00BCF">
              <w:rPr>
                <w:rFonts w:ascii="Times New Roman" w:hAnsi="Times New Roman" w:cs="Times New Roman"/>
                <w:b/>
                <w:bCs/>
                <w:sz w:val="24"/>
                <w:szCs w:val="24"/>
              </w:rPr>
              <w:t xml:space="preserve">khoản 4 Điều </w:t>
            </w:r>
            <w:r w:rsidRPr="00E00BCF">
              <w:rPr>
                <w:rFonts w:ascii="Times New Roman" w:hAnsi="Times New Roman" w:cs="Times New Roman"/>
                <w:b/>
                <w:bCs/>
                <w:sz w:val="24"/>
                <w:szCs w:val="24"/>
                <w:lang w:val="vi-VN"/>
              </w:rPr>
              <w:t>35</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Chủ tịch Ủy ban nhân dân cấp huyện có trách nhiệm sau đây:</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Chỉ đạo tổ chức thực hiện các biện pháp phòng, chống dịch bệnh động vật theo quy định;</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Tổ chức tuyên truyền, phổ biến các biện pháp phòng, chống dịch bệnh động vật trên địa bàn;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Thực hiện chính sách hỗ trợ phòng, chống dịch bệnh động vật, khắc phục hậu quả do dịch bệnh gây ra và khôi phục nuôi trồng thủy sản trên địa bàn;</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Trình Chủ tịch Ủy ban nhân dân cấp tỉnh quyết định hỗ trợ kinh phí, vật tư và nguồn lực khi yêu cầu phòng, chống dịch bệnh động vật vượt quá khả năng của địa phương;</w:t>
            </w:r>
          </w:p>
          <w:p w:rsidR="00E00BCF" w:rsidRPr="00E00BCF" w:rsidRDefault="00E00BCF" w:rsidP="008B7646">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Báo cáo Chủ tịch Ủy ban nhân dân cấp tỉnh kết quả phòng, chống dịch bệnh động vật và việc thực hiện chính sách hỗ trợ phòng, chống dịch bệnh, khắc phục hậu quả do dịch bệnh gây ra và khôi phục nuôi trồng thủy sản trên địa bàn.</w:t>
            </w:r>
          </w:p>
        </w:tc>
      </w:tr>
      <w:tr w:rsidR="00E00BCF" w:rsidRPr="00E00BCF" w:rsidTr="00091924">
        <w:trPr>
          <w:jc w:val="center"/>
        </w:trPr>
        <w:tc>
          <w:tcPr>
            <w:tcW w:w="846" w:type="dxa"/>
            <w:shd w:val="clear" w:color="auto" w:fill="auto"/>
          </w:tcPr>
          <w:p w:rsidR="00E00BCF" w:rsidRPr="00091924" w:rsidRDefault="00E00BCF" w:rsidP="00F01E45">
            <w:pPr>
              <w:ind w:left="360"/>
              <w:rPr>
                <w:rFonts w:ascii="Times New Roman" w:hAnsi="Times New Roman" w:cs="Times New Roman"/>
                <w:b/>
                <w:sz w:val="24"/>
                <w:szCs w:val="24"/>
              </w:rPr>
            </w:pPr>
          </w:p>
        </w:tc>
        <w:tc>
          <w:tcPr>
            <w:tcW w:w="14039" w:type="dxa"/>
            <w:shd w:val="clear" w:color="auto" w:fill="auto"/>
          </w:tcPr>
          <w:p w:rsidR="00E00BCF" w:rsidRPr="00E00BCF" w:rsidRDefault="00E00BCF" w:rsidP="00F01E45">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d khoản 7 Điều 35</w:t>
            </w:r>
          </w:p>
          <w:p w:rsidR="00E00BCF" w:rsidRPr="00E00BCF" w:rsidRDefault="00E00BCF" w:rsidP="00F01E45">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d) Lấy mẫu bệnh phẩm theo hướng dẫn của cơ quan quản lý chuyên ngành thú y cấp huyện.</w:t>
            </w:r>
          </w:p>
        </w:tc>
      </w:tr>
      <w:tr w:rsidR="00E00BCF" w:rsidRPr="00E00BCF" w:rsidTr="00091924">
        <w:trPr>
          <w:jc w:val="center"/>
        </w:trPr>
        <w:tc>
          <w:tcPr>
            <w:tcW w:w="846" w:type="dxa"/>
            <w:shd w:val="clear" w:color="auto" w:fill="auto"/>
          </w:tcPr>
          <w:p w:rsidR="00E00BCF" w:rsidRPr="00091924" w:rsidRDefault="00E00BCF" w:rsidP="008B7646">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B7646">
            <w:pPr>
              <w:tabs>
                <w:tab w:val="left" w:pos="178"/>
              </w:tabs>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76</w:t>
            </w:r>
          </w:p>
          <w:p w:rsidR="00E00BCF" w:rsidRPr="00E00BCF" w:rsidRDefault="00E00BCF" w:rsidP="008B7646">
            <w:pPr>
              <w:tabs>
                <w:tab w:val="left" w:pos="178"/>
              </w:tabs>
              <w:jc w:val="both"/>
              <w:rPr>
                <w:rFonts w:ascii="Times New Roman" w:hAnsi="Times New Roman" w:cs="Times New Roman"/>
                <w:bCs/>
                <w:sz w:val="24"/>
                <w:szCs w:val="24"/>
              </w:rPr>
            </w:pPr>
            <w:bookmarkStart w:id="1" w:name="khoan_2_76"/>
            <w:r w:rsidRPr="00E00BCF">
              <w:rPr>
                <w:rFonts w:ascii="Times New Roman" w:hAnsi="Times New Roman" w:cs="Times New Roman"/>
                <w:sz w:val="24"/>
                <w:szCs w:val="24"/>
                <w:shd w:val="clear" w:color="auto" w:fill="FFFFFF"/>
                <w:lang w:val="fr-FR"/>
              </w:rPr>
              <w:t>2. Ủy ban nhân dân cấp huyện có trách nhiệm sau đây:</w:t>
            </w:r>
            <w:bookmarkEnd w:id="1"/>
          </w:p>
          <w:p w:rsidR="00E00BCF" w:rsidRPr="00E00BCF" w:rsidRDefault="00E00BCF" w:rsidP="008B7646">
            <w:pPr>
              <w:tabs>
                <w:tab w:val="left" w:pos="178"/>
              </w:tabs>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a) Phối hợp với các phòng, ban, ngành liên quan tổ chức triển khai thực hiện mạng lưới cơ sở giết mổ động vật tập trung;</w:t>
            </w:r>
          </w:p>
          <w:p w:rsidR="00E00BCF" w:rsidRPr="00E00BCF" w:rsidRDefault="00E00BCF" w:rsidP="008B7646">
            <w:pPr>
              <w:tabs>
                <w:tab w:val="left" w:pos="178"/>
              </w:tabs>
              <w:jc w:val="both"/>
              <w:rPr>
                <w:rFonts w:ascii="Times New Roman" w:hAnsi="Times New Roman" w:cs="Times New Roman"/>
                <w:bCs/>
                <w:sz w:val="24"/>
                <w:szCs w:val="24"/>
              </w:rPr>
            </w:pPr>
            <w:r w:rsidRPr="00E00BCF">
              <w:rPr>
                <w:rFonts w:ascii="Times New Roman" w:hAnsi="Times New Roman" w:cs="Times New Roman"/>
                <w:bCs/>
                <w:sz w:val="24"/>
                <w:szCs w:val="24"/>
              </w:rPr>
              <w:t>b) Quản lý hoạt động của cơ sở giết mổ động vật tập trung; hoạt động sơ chế, chế biến, vận chuyển, kinh doanh động vật, sản phẩm động vật và vệ sinh thú y trên địa bàn;</w:t>
            </w:r>
          </w:p>
          <w:p w:rsidR="00E00BCF" w:rsidRPr="00E00BCF" w:rsidRDefault="00E00BCF" w:rsidP="008B7646">
            <w:pPr>
              <w:tabs>
                <w:tab w:val="left" w:pos="178"/>
              </w:tabs>
              <w:jc w:val="both"/>
              <w:rPr>
                <w:rFonts w:ascii="Times New Roman" w:hAnsi="Times New Roman" w:cs="Times New Roman"/>
                <w:bCs/>
                <w:sz w:val="24"/>
                <w:szCs w:val="24"/>
              </w:rPr>
            </w:pPr>
            <w:r w:rsidRPr="00E00BCF">
              <w:rPr>
                <w:rFonts w:ascii="Times New Roman" w:hAnsi="Times New Roman" w:cs="Times New Roman"/>
                <w:bCs/>
                <w:sz w:val="24"/>
                <w:szCs w:val="24"/>
              </w:rPr>
              <w:t>c) Tổ chức thực hiện quy định tại điểm a và điểm d khoản 2 Điều 9 của Luật này.</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jc w:val="bot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83/2018/NĐ-CP ngày 24 tháng 5 năm 2018 của Chính phủ về khuyến nông</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2 Điều 36</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2. Phê duyệt chương trình khuyến nông địa phương, phê duyệt hoặc phân cấp cho Sở Nông nghiệp và Phát triển nông thôn, Ủy ban nhân dân cấp huyện, cấp xã phê duyệt kế hoạch khuyến nông địa phương và chỉ đạo tổ chức thực hiện.</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13/2020/NĐ-CP ngày 21 tháng 01 năm 2020 của Chính phủ hướng dẫn chi tiết Luật Chăn nuôi được sửa đổi, bổ sung một số điều tại Nghị định số 46/2022/NĐ-CP ngày 13 tháng 7 năm 2022 của Chính phủ</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b khoản 3 Điều 21</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Chăn nuôi trang trại quy mô vừa, quy mô nhỏ phải đáp ứng các điều kiện quy định tại khoản 1 Điều 55 và khoản 2 Điều 57 của Luật Chăn nuôi.</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Sở Nông nghiệp và Phát triển nông thôn, Ủy ban nhân dân cấp huyện có trách nhiệm kiểm tra điều kiện chăn nuôi của cơ sở chăn nuôi trang trại quy mô vừa, quy mô nhỏ theo các chỉ tiêu quy định tại Bảng nội dung đánh giá điều kiện chăn nuôi kèm theo Mẫu số 04.ĐKCN Phụ lục I ban hành kèm theo Nghị định này. Tần suất kiểm tra định kỳ là 03 năm một lần; kiểm tra đột xuất khi phát hiện dấu hiệu vi phạm hoặc khi có tố cáo, khiếu nại về chất lượng sản phẩm chăn nuôi, điều kiện chăn nuôi hoặc theo chỉ đạo của cơ quan quản lý cấp trên.</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Trường hợp vi phạm, cơ sở chăn nuôi trang trại quy mô vừa, quy mô nhỏ phải cam kết khắc phục, bảo đảm điều kiện chăn nuôi trong thời hạn 06 tháng kể từ ngày bị phát hiện vi phạm và gửi báo cáo kết quả khắc phục đến cơ quan kiểm tra. Cơ quan kiểm tra tiến hành kiểm tra thực tế kết quả khắc phục trong trường hợp cần thiết.”</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106/2024/NĐ-CP ngày 01 tháng 8 năm 2024 của Chính phủ quy định chính sách hỗ trợ nâng cao hiệu quả chăn nuôi</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sz w:val="24"/>
                <w:szCs w:val="24"/>
              </w:rPr>
            </w:pPr>
            <w:r w:rsidRPr="00E00BCF">
              <w:rPr>
                <w:rFonts w:ascii="Times New Roman" w:hAnsi="Times New Roman" w:cs="Times New Roman"/>
                <w:b/>
                <w:sz w:val="24"/>
                <w:szCs w:val="24"/>
              </w:rPr>
              <w:t>điểm a khoản 2 Điều 7</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Hỗ trợ bố trí quỹ đất để xây dựng cơ sở chăn nuôi cho những đối tượng di dời: căn cứ Nghị quyết của Hội đồng nhân dân cấp tỉnh về chính sách hỗ trợ di dời, quy hoạch tỉnh, vùng đã được cấp có thẩm quyền phê duyệt, Ủy ban nhân dân cấp tỉnh, cấp huyện bố trí quỹ đất để xây dựng cơ sở chăn nuôi cho đối tượng được di dời theo quy định của pháp luật về đất đai.</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spacing w:val="-2"/>
                <w:sz w:val="24"/>
                <w:szCs w:val="24"/>
              </w:rPr>
            </w:pPr>
            <w:r w:rsidRPr="00E00BCF">
              <w:rPr>
                <w:rFonts w:ascii="Times New Roman" w:hAnsi="Times New Roman" w:cs="Times New Roman"/>
                <w:b/>
                <w:spacing w:val="-2"/>
                <w:sz w:val="24"/>
                <w:szCs w:val="24"/>
              </w:rPr>
              <w:t>khoản 1 Điều 14</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1. Trình tự và thủ tục hỗ trợ đối với nội dung quy định tại điểm d, đ và e khoản 2 Điều 5; điểm b, c khoản 2 Điều 6; điểm c khoản 2 Điều 7; điểm a, b khoản 2 Điều 9 và điểm a, b (đối với chăn nuôi nông hộ, chăn nuôi trang trại quy mô nhỏ và vừa) và điểm c khoản 2 Điều 10 Nghị định này thực hiện như sau:</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a) Nộp hồ sơ: Tổ chức, cá nhân gửi 01 bộ hồ sơ tới Sở Nông nghiệp và Phát triển nông thôn nơi cơ sở chăn nuôi đề nghị được hỗ trợ.</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Quy định về nộp hồ sơ như sau:</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lastRenderedPageBreak/>
              <w:t>Trường hợp nộp hồ sơ trực tiếp hoặc qua dịch vụ bưu chính: các thành phần hồ sơ phải là bản chính hoặc bản sao chứng thực hoặc bản chụp không chứng thực kèm bản chính để đối chiếu.</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Trường hợp nộp hồ sơ qua môi trường điện tử: các thành phần hồ sơ thực hiện theo quy định tại Nghị định số 45/2020/NĐ-CP ngày 08 tháng 4 năm 2020 của Chính phủ về thực hiện thủ tục hành chính trên môi trường điện tử.</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b) Thành phần hồ sơ:</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Đối với nội dung chính sách quy định tại điểm d, đ và e khoản 2 Điều 5, thành phần hồ sơ gồm: Văn bản đề nghị hỗ trợ kinh phí theo Mẫu số 07 Phụ lục ban hành kèm theo Nghị định này; hoá đơn, chứng từ liên quan đến các khoản mục chi phí.</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Đối với nội dung chính sách quy định tại điểm b, c khoản 2 Điều 6; điểm c khoản 2 Điều 7; điểm a, b (đối với trang trại chăn nuôi quy mô nhỏ và vừa) khoản 2 Điều 10 thành phần hồ sơ gồm: Văn bản đề nghị hỗ trợ kinh phí theo Mẫu số 07 Phụ lục ban hành kèm theo Nghị định này; hoá đơn, chứng từ liên quan đến các khoản mục chi phí.</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Đối với nội dung chính sách quy định tại điểm a, b khoản 2 Điều 9 thành phần hồ sơ gồm: Văn bản đề nghị hỗ trợ kinh phí theo Mẫu số 07 Phụ lục ban hành kèm theo Nghị định này; Giấy xác nhận về nguồn gốc hoặc lý lịch vật nuôi; Giấy chứng nhận kiểm dịch động vật (nếu có); Chứng từ, hoá đơn mua bán con giống hoặc hợp đồng, thanh lý hợp đồng mua bán con giống; Biên bản nghiệm thu gà, vịt, ngan giống cấp bố mẹ sau 38 tuần tuổi.</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c) Thời gian trả lời và tính đầy đủ của hồ sơ:</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Trường hợp nộp hồ sơ trực tiếp: tại thời điểm tiếp nhận hồ sơ, cơ quan giải quyết thủ tục hành chính kiểm tra thành phần hồ sơ và tiếp nhận hồ sơ đầy đủ thành phần; trường hợp hồ sơ chưa đầy đủ thành phần thì hướng dẫn tổ chức, cá nhân bổ sung, hoàn thiện hồ sơ.</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Trường hợp nộp hồ sơ qua dịch vụ bưu chính hoặc qua môi trường điện tử: trong thời hạn 03 ngày làm việc tính từ ngày nhận được hồ sơ, cơ quan giải quyết thủ tục hành chính xem xét tính đầy đủ của hồ sơ; trường hợp hồ sơ chưa đầy đủ theo quy định thì cơ quan giải quyết thủ tục hành chính thông báo cho tổ chức, cá nhân bổ sung, hoàn thiện hồ sơ.</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d) Trình tự, thủ tục giải quyết thủ tục hành chính:</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Trong thời hạn 20 ngày tính từ ngày nhận được hồ sơ đầy đủ và hợp lệ, Sở Nông nghiệp và Phát triển nông thôn thành lập Hội đồng thẩm định và tổ chức thẩm định hồ sơ.</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Hội đồng thẩm định hồ sơ có từ 07 đến 09 người gồm lãnh đạo Sở Nông nghiệp và Phát triển nông thôn là Chủ tịch Hội đồng, các thành viên là đại diện Sở Kế hoạch và Đầu tư, Sở Tài chính, Sở Tài nguyên và Môi trường, các Sở, ban, ngành và lãnh đạo Ủy ban nhân dân các huyện có liên quan.</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Hội đồng thẩm định về tính xác thực và nội dung của thành phần hồ sơ theo quy định tại khoản 2 Điều này; tổ chức kiểm tra thực tế trong trường hợp cần thiết.</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Trường hợp kết quả thẩm định đạt yêu cầu, Sở Nông nghiệp và Phát triển nông thôn tham mưu Ủy ban nhân dân cấp tỉnh ban hành quyết định phê duyệt kinh phí hỗ trợ; trường hợp từ chối phải trả lời bằng văn bản và nêu rõ lý do.</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đ) Cách thức trả kết quả thực hiện thủ tục hành chính: thực hiện trả kết quả giải quyết thủ tục hành chính trực tiếp tại nơi nhận hồ sơ hoặc qua dịch vụ bưu chính hoặc qua môi trường điện tử.</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e) Thanh toán hỗ trợ</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lastRenderedPageBreak/>
              <w:t>Căn cứ quyết định phê duyệt kinh phí hỗ trợ, đối tượng được hỗ trợ nộp văn bản đề nghị thanh toán kinh phí hỗ trợ tại Sở Tài chính nơi cơ sở chăn nuôi đề nghị hỗ trợ hoặc gửi qua dịch vụ bưu chính hoặc qua môi trường điện tử để được giải ngân khoản kinh phí hỗ trợ. Văn bản đề nghị thanh toán kinh phí hỗ trợ theo Mẫu số 06 Phụ lục ban hành kèm theo Nghị định này.</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Sở Tài chính thực hiện thủ tục đăng ký sử dụng tài khoản theo quy định về thủ tục hành chính trong lĩnh vực Kho bạc Nhà nước để thực hiện thanh toán kinh phí hỗ trợ cho đối tượng được hỗ trợ.</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Trên cơ sở đề nghị thanh toán kinh phí hỗ trợ của đối tượng được hỗ trợ, Sở Tài chính chủ trì, phối hợp với đối tượng được hỗ trợ rà soát và lập Hồ sơ giải ngân gửi tới Kho bạc Nhà nước cấp tỉnh trong thời hạn 15 ngày tính từ ngày nhận được văn bản đề nghị thanh toán kinh phí hỗ trợ của đối tượng được hỗ trợ;</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Hồ sơ giải ngân gồm: Quyết định hỗ trợ đầu tư của Chủ tịch Ủy ban nhân dân cấp tỉnh; Văn bản đề nghị thanh toán kinh phí hỗ trợ; Chứng từ chuyển tiền theo quy định.</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Kho bạc Nhà nước cấp tỉnh chịu trách nhiệm giải ngân khoản hỗ trợ cho đối tượng được hỗ trợ trong thời hạn 03 ngày làm việc tính từ ngày nhận được hồ sơ đầy đủ và hợp lệ.</w:t>
            </w:r>
          </w:p>
          <w:p w:rsidR="00E00BCF" w:rsidRPr="00E00BCF" w:rsidRDefault="00E00BCF" w:rsidP="00814E4D">
            <w:pPr>
              <w:jc w:val="both"/>
              <w:rPr>
                <w:rFonts w:ascii="Times New Roman" w:hAnsi="Times New Roman" w:cs="Times New Roman"/>
                <w:b/>
                <w:bCs/>
                <w:sz w:val="24"/>
                <w:szCs w:val="24"/>
                <w:lang w:val="vi-VN"/>
              </w:rPr>
            </w:pPr>
            <w:r w:rsidRPr="00E00BCF">
              <w:rPr>
                <w:rFonts w:ascii="Times New Roman" w:hAnsi="Times New Roman" w:cs="Times New Roman"/>
                <w:sz w:val="24"/>
                <w:szCs w:val="24"/>
                <w:shd w:val="clear" w:color="auto" w:fill="FFFFFF"/>
              </w:rPr>
              <w:t>g) Tổ chức, cá nhân chịu trách nhiệm về tính hợp pháp của hồ sơ đã nộp.</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sz w:val="24"/>
                <w:szCs w:val="24"/>
              </w:rPr>
            </w:pPr>
            <w:r w:rsidRPr="00E00BCF">
              <w:rPr>
                <w:rFonts w:ascii="Times New Roman" w:hAnsi="Times New Roman" w:cs="Times New Roman"/>
                <w:b/>
                <w:sz w:val="24"/>
                <w:szCs w:val="24"/>
              </w:rPr>
              <w:t>điểm a khoản 2 Điều 14</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a) Thành phần hồ sơ:</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Quyết định giao nhiệm vụ của Ủy ban nhân dân cấp tỉnh hoặc Sở Nông nghiệp và Phát triển nông thôn cho tổ chức được giao nhiệm vụ thực hiện chương trình hỗ trợ phối giống nhân tạo gia súc.</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Hợp đồng cung cấp vật tư phối giống nhân tạo gia súc giữa cơ sở được giao nhiệm vụ thực hiện chương trình hỗ trợ phối giống nhân tạo gia súc và cơ sở được lựa chọn cung cấp vật tư phối giống nhân tạo gia súc.</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Danh sách gia súc được phối giống nhân tạo có xác nhận của Ủy ban nhân dân cấp xã theo Mẫu số 08 (đối với trâu, bò) hoặc Mẫu số 09 (đối với lợn) Phụ lục ban hành kèm theo Nghị định này.</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Biên bản nghiệm thu kết quả phối giống nhân tạo gia súc đã được thực hiện.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sz w:val="24"/>
                <w:szCs w:val="24"/>
              </w:rPr>
            </w:pPr>
            <w:r w:rsidRPr="00E00BCF">
              <w:rPr>
                <w:rFonts w:ascii="Times New Roman" w:hAnsi="Times New Roman" w:cs="Times New Roman"/>
                <w:b/>
                <w:sz w:val="24"/>
                <w:szCs w:val="24"/>
              </w:rPr>
              <w:t>điểm b khoản 3 Điều 14</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b) Trình tự, thủ tục:</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Đối tượng được hỗ trợ nộp 01 bộ hồ sơ đề nghị hỗ trợ tới Ủy ban nhân dân cấp huyện trước ngày 25 của tháng cuối hằng quý.</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Trong thời hạn 20 ngày tính từ ngày nhận được đầy đủ hồ sơ, Ủy ban nhân dân cấp huyện thẩm định hồ sơ. Trường hợp kết quả thẩm định đạt yêu cầu Ủy ban nhân dân cấp huyện ban hành quyết định phê duyệt kinh phí hỗ trợ; trường hợp từ chối phải trả lời bằng văn bản cho đối tượng đã nộp hồ sơ đề nghị hỗ trợ và nêu rõ lý do.</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Trong thời hạn 20 ngày tính từ ngày có quyết định phê duyệt kinh phí hỗ trợ, Ủy ban nhân dân cấp huyện thực hiện hỗ trợ kinh phí cho đối tượng được hỗ trợ theo quy định của Luật Ngân sách.</w:t>
            </w:r>
          </w:p>
        </w:tc>
      </w:tr>
      <w:tr w:rsidR="00E00BCF" w:rsidRPr="00E00BCF" w:rsidTr="00091924">
        <w:trPr>
          <w:trHeight w:val="699"/>
          <w:jc w:val="center"/>
        </w:trPr>
        <w:tc>
          <w:tcPr>
            <w:tcW w:w="846" w:type="dxa"/>
            <w:shd w:val="clear" w:color="auto" w:fill="auto"/>
            <w:vAlign w:val="center"/>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pStyle w:val="H"/>
              <w:numPr>
                <w:ilvl w:val="0"/>
                <w:numId w:val="0"/>
              </w:numPr>
              <w:spacing w:before="0" w:line="240" w:lineRule="auto"/>
              <w:rPr>
                <w:rFonts w:ascii="Times New Roman" w:hAnsi="Times New Roman"/>
                <w:bCs w:val="0"/>
                <w:spacing w:val="0"/>
                <w:sz w:val="24"/>
                <w:szCs w:val="24"/>
                <w:lang w:val="en-US"/>
              </w:rPr>
            </w:pPr>
            <w:r w:rsidRPr="00E00BCF">
              <w:rPr>
                <w:rFonts w:ascii="Times New Roman" w:hAnsi="Times New Roman"/>
                <w:bCs w:val="0"/>
                <w:spacing w:val="0"/>
                <w:sz w:val="24"/>
                <w:szCs w:val="24"/>
                <w:lang w:val="en-US"/>
              </w:rPr>
              <w:t>LĨNH VỰC TRỒNG TRỌT VÀ BẢO VỆ THỰC VẬT</w:t>
            </w:r>
          </w:p>
        </w:tc>
      </w:tr>
      <w:tr w:rsidR="00E00BCF" w:rsidRPr="00E00BCF" w:rsidTr="00091924">
        <w:trPr>
          <w:trHeight w:val="451"/>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Trồng trọt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2 Điều 83</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2. Ủy ban nhân dân cấp huyện, Ủy ban nhân dân cấp xã, trong phạm vi nhiệm vụ, quyền hạn của mình, có trách nhiệm sau đây:</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a) Thực hiện nội dung, biện pháp quản lý trong hoạt động trồng trọt trên địa bàn theo quy định của pháp luật;</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Thực hiện nhiệm vụ quản lý nhà nước về hoạt động trồng trọt theo phân cấp hoặc ủy quyền;</w:t>
            </w:r>
          </w:p>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Cs/>
                <w:sz w:val="24"/>
                <w:szCs w:val="24"/>
              </w:rPr>
              <w:t>c) Tổ chức, thực hiện tuyên truyền, phổ biến, giáo dục pháp luật về hoạt động trồng trọt trên địa bàn.</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Bảo vệ và Kiểm dịch thực vật</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sz w:val="24"/>
                <w:szCs w:val="24"/>
                <w:lang w:val="vi-VN"/>
              </w:rPr>
            </w:pPr>
            <w:r w:rsidRPr="00E00BCF">
              <w:rPr>
                <w:rFonts w:ascii="Times New Roman" w:hAnsi="Times New Roman" w:cs="Times New Roman"/>
                <w:b/>
                <w:sz w:val="24"/>
                <w:szCs w:val="24"/>
                <w:lang w:val="vi-VN"/>
              </w:rPr>
              <w:t>Tên Khoản 1 Điều 8</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1. Ủy ban nhân dân tỉnh, thành phố trực thuộc trung ương (sau đây gọi chung là Ủy ban nhân dân cấp tỉnh), Ủy ban nhân dân quận, huyện, thị xã, thành phố thuộc tỉnh (sau đây gọi chung là Ủy ban nhân dân cấp huyện) có trách nhiệm sau đây:</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sz w:val="24"/>
                <w:szCs w:val="24"/>
                <w:lang w:val="vi-VN"/>
              </w:rPr>
            </w:pPr>
            <w:r w:rsidRPr="00E00BCF">
              <w:rPr>
                <w:rFonts w:ascii="Times New Roman" w:hAnsi="Times New Roman" w:cs="Times New Roman"/>
                <w:b/>
                <w:sz w:val="24"/>
                <w:szCs w:val="24"/>
                <w:lang w:val="vi-VN"/>
              </w:rPr>
              <w:t>Điểm đ khoản 1 Điều 8</w:t>
            </w:r>
          </w:p>
          <w:p w:rsidR="00E00BCF" w:rsidRPr="00E00BCF" w:rsidRDefault="00E00BCF" w:rsidP="00814E4D">
            <w:pPr>
              <w:jc w:val="both"/>
              <w:rPr>
                <w:rFonts w:ascii="Times New Roman" w:hAnsi="Times New Roman" w:cs="Times New Roman"/>
                <w:b/>
                <w:sz w:val="24"/>
                <w:szCs w:val="24"/>
                <w:lang w:val="vi-VN"/>
              </w:rPr>
            </w:pPr>
            <w:r w:rsidRPr="00E00BCF">
              <w:rPr>
                <w:rFonts w:ascii="Times New Roman" w:hAnsi="Times New Roman" w:cs="Times New Roman"/>
                <w:sz w:val="24"/>
                <w:szCs w:val="24"/>
                <w:shd w:val="clear" w:color="auto" w:fill="FFFFFF"/>
              </w:rPr>
              <w:t>đ) Ủy ban nhân dân cấp tỉnh bố trí kinh phí, chỉ đạo Ủy ban nhân dân cấp huyện tổ chức thu gom, xử lý bao gói thuốc bảo vệ thực vật sau sử dụng, tiêu hủy thuốc bảo vệ thực vật vô chủ tại địa phương;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sz w:val="24"/>
                <w:szCs w:val="24"/>
                <w:lang w:val="vi-VN"/>
              </w:rPr>
            </w:pPr>
            <w:r w:rsidRPr="00E00BCF">
              <w:rPr>
                <w:rFonts w:ascii="Times New Roman" w:hAnsi="Times New Roman" w:cs="Times New Roman"/>
                <w:b/>
                <w:sz w:val="24"/>
                <w:szCs w:val="24"/>
                <w:lang w:val="vi-VN"/>
              </w:rPr>
              <w:t>Khoản 3 Điều 18</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Chủ tịch Ủy ban nhân dân cấp huyện, cấp xã có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Huy động nguồn lực tại địa phương thực hiện các biện pháp chống dịch theo chỉ đạo của Chủ tịch Ủy ban nhân dân cấp trên;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Tổ chức tuyên truyền, phổ biến các biện pháp chống dịch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Thực hiện các chính sách hỗ trợ chống dịch, khắc phục hậu quả do dịch gây ra, ổn định đời sống và khôi phục sản xuất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Trình Chủ tịch Ủy ban nhân dân cấp trên quyết định hỗ trợ kinh phí, vật tư và nguồn lực khi yêu cầu chống dịch vượt quá khả năng của địa phương;</w:t>
            </w:r>
          </w:p>
          <w:p w:rsidR="00E00BCF" w:rsidRPr="00E00BCF" w:rsidRDefault="00E00BCF" w:rsidP="00814E4D">
            <w:pPr>
              <w:shd w:val="clear" w:color="auto" w:fill="FFFFFF"/>
              <w:jc w:val="both"/>
              <w:rPr>
                <w:rFonts w:ascii="Times New Roman" w:hAnsi="Times New Roman" w:cs="Times New Roman"/>
                <w:sz w:val="24"/>
                <w:szCs w:val="24"/>
                <w:lang w:val="vi-VN"/>
              </w:rPr>
            </w:pPr>
            <w:r w:rsidRPr="00E00BCF">
              <w:rPr>
                <w:rFonts w:ascii="Times New Roman" w:eastAsia="Times New Roman" w:hAnsi="Times New Roman" w:cs="Times New Roman"/>
                <w:sz w:val="24"/>
                <w:szCs w:val="24"/>
              </w:rPr>
              <w:t>đ) Báo cáo Chủ tịch Ủy ban nhân dân cấp trên về kết quả chống dịch và thực hiện chính sách hỗ trợ chống dịch, khắc phục hậu quả do dịch gây ra, ổn định đời sống và khôi phục sản xuất.</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79/2023/NĐ-CP ngày 15 tháng 11 năm 2023 của Chính phủ quy định chi tiết một số điều và biện pháp thi hành Luật Sở hữu trí tuệ về quyền đối với giống cây trồng</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3 Điều 35</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Chỉ đạo Ủy ban nhân dân thành phố thuộc tỉnh, quận, huyện, thị xã thi hành các biện pháp quản lý nhà nước về bảo hộ quyền đối với giống cây trồng tại địa phương.</w:t>
            </w:r>
          </w:p>
        </w:tc>
      </w:tr>
      <w:tr w:rsidR="00E00BCF" w:rsidRPr="00E00BCF" w:rsidTr="00091924">
        <w:trPr>
          <w:trHeight w:val="699"/>
          <w:jc w:val="center"/>
        </w:trPr>
        <w:tc>
          <w:tcPr>
            <w:tcW w:w="846" w:type="dxa"/>
            <w:shd w:val="clear" w:color="auto" w:fill="auto"/>
            <w:vAlign w:val="center"/>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THỦY SẢN VÀ KIỂM NGƯ</w:t>
            </w:r>
          </w:p>
        </w:tc>
      </w:tr>
      <w:tr w:rsidR="00E00BCF" w:rsidRPr="00E00BCF" w:rsidTr="00091924">
        <w:trPr>
          <w:trHeight w:val="613"/>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Thuỷ sản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b khoản 2 Điều 10</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Ủy ban nhân dân cấp huyện công nhận và giao quyền quản lý trong bảo vệ nguồn lợi thủy sản tại khu vực thuộc địa bàn quản lý;</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2 Điều 44</w:t>
            </w:r>
          </w:p>
          <w:p w:rsidR="00E00BCF" w:rsidRPr="00E00BCF" w:rsidRDefault="00E00BCF" w:rsidP="00814E4D">
            <w:pPr>
              <w:jc w:val="both"/>
              <w:rPr>
                <w:rFonts w:ascii="Times New Roman" w:hAnsi="Times New Roman" w:cs="Times New Roman"/>
                <w:b/>
                <w:bCs/>
                <w:sz w:val="24"/>
                <w:szCs w:val="24"/>
                <w:lang w:val="vi-VN"/>
              </w:rPr>
            </w:pPr>
            <w:r w:rsidRPr="00E00BCF">
              <w:rPr>
                <w:rFonts w:ascii="Times New Roman" w:hAnsi="Times New Roman" w:cs="Times New Roman"/>
                <w:sz w:val="24"/>
                <w:szCs w:val="24"/>
                <w:shd w:val="clear" w:color="auto" w:fill="FFFFFF"/>
              </w:rPr>
              <w:lastRenderedPageBreak/>
              <w:t>a) Ủy ban nhân dân cấp huyện giao khu vực biển cho cá nhân Việt Nam có hồ sơ đăng ký khi cá nhân đó phải chuyển đổi từ nghề khai thác ven bờ sang nuôi trồng thủy sản theo quyết định của cơ quan nhà nước có thẩm quyền hoặc thường trú trên địa bàn mà nguồn sống chủ yếu dựa vào thu nhập từ nuôi trồng thủy sản được Ủy ban nhân dân cấp xã nơi thường trú xác nhận. Phạm vi giao khu vực biển để nuôi trồng thủy sản tính từ đường mép nước biển thấp nhất trung bình trong nhiều năm đến 03 hải lý thuộc phạm vi quản lý;</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3 Điều 79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Ủy ban nhân dân cấp huyện công bố mở, đóng cảng cá loại III.</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2 Điều 102</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cấp huyện và cấp xã trong phạm vi nhiệm vụ, quyền hạn của mình có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Thực hiện nội dung, biện pháp quản lý trong hoạt động thủy sản trên địa bàn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Thực hiện nhiệm vụ quản lý nhà nước về thủy sản theo phân cấp hoặc ủy quyền của Ủy ban nhân dân cấp trên trực tiếp;</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Tổ chức, thực hiện tuyên truyền, phổ biến, giáo dục pháp luật về thủy sản trên địa bàn.</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26/2019/NĐ-CP ngày 08 tháng 3 năm 2019 của Chính phủ quy định chi tiết một số điều và biện pháp thi hành Luật Thủy sản, đã được sửa đổi, bổ sung bởi Nghị định số 37/2024/NĐ-CP ngày 04 tháng 4 năm 2024 của Chính phủ</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b khoản 2 Điều 5</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Trong thời hạn 03 ngày làm việc kể từ ngày nhận đủ hồ sơ, cơ quan có thẩm quyền thông báo Phương án bảo vệ và khai thác nguồn lợi thủy sản trên phương tiện thông tin đại chúng, niêm yết công khai tại trụ sở Ủy ban nhân dân cấp huyện, cấp xã và khu dân cư nơi dự kiến thực hiện đồng quản lý;</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8 Điều 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8. Trường hợp loài thủy sản nguy cấp, quý, hiếm bị chết không được lưu giữ, bảo quản, chế tác mẫu vật phục vụ nghiên cứu, tuyên truyền, giáo dục thì Cơ quan quản lý nhà nước về thủy sản cấp tỉnh phối hợp với chính quyền địa phương cấp huyện tổ chức xử lý phù hợp với tập quán và quy định của pháp luật về thú y, bảo vệ môi trường và kiểm dịch động vật, thực vật.</w:t>
            </w:r>
          </w:p>
        </w:tc>
      </w:tr>
      <w:tr w:rsidR="00E00BCF" w:rsidRPr="00E00BCF" w:rsidTr="00091924">
        <w:trPr>
          <w:trHeight w:val="790"/>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LÂM NGHIỆP VÀ KIỂM LÂM</w:t>
            </w:r>
          </w:p>
        </w:tc>
      </w:tr>
      <w:tr w:rsidR="00E00BCF" w:rsidRPr="00E00BCF" w:rsidTr="00091924">
        <w:trPr>
          <w:trHeight w:val="465"/>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Lâm nghiệp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1 Điều 15 được sửa đổi, bổ sung tại khoản 2 Điều 248 Luật Đất đai</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2. Sửa đổi, bổ sung khoản 1 Điều 15 như sau:</w:t>
            </w:r>
            <w:r w:rsidRPr="00E00BCF">
              <w:rPr>
                <w:rFonts w:ascii="Times New Roman" w:hAnsi="Times New Roman" w:cs="Times New Roman"/>
                <w:sz w:val="24"/>
                <w:szCs w:val="24"/>
              </w:rPr>
              <w:br/>
            </w:r>
            <w:r w:rsidRPr="00E00BCF">
              <w:rPr>
                <w:rFonts w:ascii="Times New Roman" w:hAnsi="Times New Roman" w:cs="Times New Roman"/>
                <w:sz w:val="24"/>
                <w:szCs w:val="24"/>
                <w:shd w:val="clear" w:color="auto" w:fill="FFFFFF"/>
              </w:rPr>
              <w:t>“1. Kế hoạch giao rừng, cho thuê rừng, chuyển mục đích sử dụng rừng sang mục đích khác của Ủy ban nhân dân cấp huyện được Ủy ban nhân dân cấp tỉnh phê duyệt hoặc kế hoạch sử dụng đất hằng năm cấp huyện được cơ quan có thẩm quyền phê duyệt.”.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2 Điều 23 được sửa đổi, bổ sung tại điểm b khoản 6 Điều 248 Luật Đất đai</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6. Sửa đổi, bổ sung một số khoản của Điều 23 như sau:</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Sửa đổi, bổ sung khoản 2 như sau:</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“2. Thẩm quyền của Ủy ban nhân dân cấp huyện được quy định như sau:</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lastRenderedPageBreak/>
              <w:t>a) Giao rừng, cho thuê rừng, chuyển mục đích sử dụng rừng sang mục đích khác đối với hộ gia đình, cá nhân;</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Giao rừng, chuyển mục đích sử dụng rừng sang mục đích khác đối với cộng đồng dân cư;</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c) Thu hồi rừng đối với trường hợp thu hồi đất có rừng thuộc thẩm quyền của Ủy ban nhân cấp huyện theo quy định của Luật Đất đai.”.</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23</w:t>
            </w:r>
          </w:p>
          <w:p w:rsidR="00E00BCF" w:rsidRPr="00E00BCF" w:rsidRDefault="00E00BCF" w:rsidP="00814E4D">
            <w:pPr>
              <w:jc w:val="both"/>
              <w:rPr>
                <w:rFonts w:ascii="Times New Roman" w:hAnsi="Times New Roman" w:cs="Times New Roman"/>
                <w:b/>
                <w:bCs/>
                <w:sz w:val="24"/>
                <w:szCs w:val="24"/>
                <w:lang w:val="vi-VN"/>
              </w:rPr>
            </w:pPr>
            <w:r w:rsidRPr="00E00BCF">
              <w:rPr>
                <w:rFonts w:ascii="Times New Roman" w:hAnsi="Times New Roman" w:cs="Times New Roman"/>
                <w:sz w:val="24"/>
                <w:szCs w:val="24"/>
                <w:shd w:val="clear" w:color="auto" w:fill="FFFFFF"/>
              </w:rPr>
              <w:t>3. Trường hợp trong khu vực thu hồi rừng có cả đối tượng quy định tại điểm a khoản 1 và khoản 2 Điều này thì Ủy ban nhân dân cấp tỉnh quyết định thu hồi rừng hoặc ủy quyền cho Ủy ban nhân dân cấp huyện quyết định thu hồi rừng.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1 Điều 58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Chủ rừng là hộ gia đình, cá nhân, cộng đồng dân cư khai thác gỗ có đề nghị và được Ủy ban nhân dân cấp huyện chấp thuận.</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2 Điều 102</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cấp huyện có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Ban hành theo thẩm quyền hoặc trình cơ quan nhà nước có thẩm quyền ban hành văn bản quy phạm pháp luật về lâm nghiệp, quyết định chương trình, dự án phát triển lâm nghiệp bền vững tại địa phương;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Tổ chức thực hiện văn bản quy phạm pháp luật về lâm nghiệp, chương trình, dự án phát triển lâm nghiệp bền vững tại địa phương;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Tổ chức thực hiện việc phân loại rừng, phân định ranh giới các loại rừng tại địa phương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Giao rừng, cho thuê rừng, chuyển mục đích sử dụng rừng sang mục đích khác, thu hồi rừng đối với hộ gia đình, cá nhân, cộng đồng dân cư; lập hồ sơ quản lý rừng; tổ chức trồng rừng thay thế;</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Tổ chức thực hiện điều tra rừng, kiểm kê rừng, theo dõi diễn biến rừng tại địa phương;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Tổ chức quản lý, bảo vệ rừng, bảo tồn đa dạng sinh học rừng, phòng cháy và chữa cháy rừng;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g) Tuyên truyền, phổ biến, giáo dục pháp luật về lâm nghiệp tại địa phương;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 Chỉ đạo Ủy ban nhân dân cấp xã lập dự án giao đất, giao rừng đối với diện tích rừng chưa giao, chưa cho thuê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i) Thanh tra, kiểm tra, xử lý vi phạm pháp luật; giải quyết tranh chấp, khiếu nại, tố cáo trong lĩnh vực lâm nghiệp tại địa phương theo quy định của pháp luật.</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156/2018/NĐ-CP ngày 16 tháng 11 năm 2018 của Chính phủ quy định chi tiết thi hành một số của Luật Lâm nghiệp đã được sửa đổi, bổ sung một số điều tại Nghị định số 27/2024/NĐ-CP ngày 06 tháng 3 năm 2024 và Nghị định số 91/2024/NĐ-CP ngày 18 tháng 7 năm 2024 của Chính phủ</w:t>
            </w:r>
          </w:p>
        </w:tc>
      </w:tr>
      <w:tr w:rsidR="00E00BCF" w:rsidRPr="00E00BCF" w:rsidTr="00091924">
        <w:trPr>
          <w:jc w:val="center"/>
        </w:trPr>
        <w:tc>
          <w:tcPr>
            <w:tcW w:w="846" w:type="dxa"/>
            <w:shd w:val="clear" w:color="auto" w:fill="auto"/>
          </w:tcPr>
          <w:p w:rsidR="00E00BCF" w:rsidRPr="00091924" w:rsidRDefault="00E00BCF" w:rsidP="0027089E">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1 và khoản 4 Điều 35</w:t>
            </w:r>
          </w:p>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Điều 35. Kế hoạch giao rừng, cho thuê rừng, chuyển mục đích sử dụng rừng sang mục đích khác</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1. Xây dựng kế hoạch giao rừng, cho thuê rừng, chuyển mục đích sử dụng rừng sang mục đích khác</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a) Hằng năm, Ủy ban nhân dân cấp huyện có trách nhiệm xây dựng kế hoạch giao rừng, cho thuê rừng, chuyển mục đích sử dụng rừng sang mục đích khác; có văn bản thông báo về việc đề nghị đăng ký nhu cầu giao rừng, cho thuê rừng, chuyển mục đích sử dụng rừng sang mục đích khác gửi cơ quan chuyên môn cấp huyện, Ủy ban nhân dân cấp xã. Thời gian có văn bản thông báo xây dựng, thẩm định, phê duyệt kế hoạch giao rừng, cho thuê rừng, chuyển mục đích sử dụng rừng sang mục đích khác tiến hành đồng thời với thời gian xây dựng, thẩm định, phê duyệt kế hoạch sử dụng đất hằng năm cấp huyện;</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lastRenderedPageBreak/>
              <w:t>b) Trong thời gian 20 ngày kể từ ngày nhận được văn bản đề nghị đăng ký nhu cầu giao rừng, cho thuê rừng, chuyển mục đích sử dụng rừng sang mục đích khác, cơ quan chuyên môn cấp huyện, Ủy ban nhân dân cấp xã tổng hợp nhu cầu giao rừng, cho thuê rừng và các dự án có đề xuất chuyển mục đích sử dụng rừng sang mục đích khác, gửi Ủy ban nhân dân cấp huyện trên cơ sở xem xét đề nghị giao rừng, cho thuê rừng, chuyển mục đích sử dụng rừng sang mục đích khác của tổ chức, hộ gia đình, cá nhân, cộng đồng dân cư; nhu cầu giao rừng, cho thuê rừng, chuyển mục đích sử dụng rừng sang mục đích khác được tổng hợp theo Mẫu số 01 Phụ lục II kèm theo Nghị định này;</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c) Ủy ban nhân dân cấp huyện căn cứ nhu cầu giao rừng, cho thuê rừng, chuyển mục đích sử dụng rừng sang mục đích khác của cơ quan chuyên môn cấp huyện và Ủy ban nhân dân cấp xã, tổng hợp diện tích rừng chưa giao, chưa cho thuê, xác định các chỉ tiêu giao rừng, cho thuê rừng, các dự án có chuyển mục đích sử dụng rừng sang mục đích khác đến từng đơn vị hành chính cấp xã; tổng hợp nhu cầu và dự kiến phân bổ chỉ tiêu giao rừng, cho thuê rừng, dự án có chuyển mục đích sử dụng rừng sang mục đích khác cấp huyện đến từng đơn vị hành chính cấp xã.</w:t>
            </w:r>
          </w:p>
          <w:p w:rsidR="00E00BCF" w:rsidRPr="00E00BCF" w:rsidRDefault="00E00BCF" w:rsidP="0027089E">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w:t>
            </w:r>
          </w:p>
          <w:p w:rsidR="00E00BCF" w:rsidRPr="00E00BCF" w:rsidRDefault="00E00BCF" w:rsidP="0027089E">
            <w:pPr>
              <w:jc w:val="both"/>
              <w:rPr>
                <w:rFonts w:ascii="Times New Roman" w:hAnsi="Times New Roman" w:cs="Times New Roman"/>
                <w:bCs/>
                <w:sz w:val="24"/>
                <w:szCs w:val="24"/>
                <w:lang w:val="vi-VN"/>
              </w:rPr>
            </w:pPr>
            <w:r w:rsidRPr="00E00BCF">
              <w:rPr>
                <w:rFonts w:ascii="Times New Roman" w:hAnsi="Times New Roman" w:cs="Times New Roman"/>
                <w:sz w:val="24"/>
                <w:szCs w:val="24"/>
                <w:shd w:val="clear" w:color="auto" w:fill="FFFFFF"/>
              </w:rPr>
              <w:t xml:space="preserve">4. </w:t>
            </w:r>
            <w:r w:rsidRPr="00E00BCF">
              <w:rPr>
                <w:rFonts w:ascii="Times New Roman" w:hAnsi="Times New Roman" w:cs="Times New Roman"/>
                <w:bCs/>
                <w:sz w:val="24"/>
                <w:szCs w:val="24"/>
              </w:rPr>
              <w:t>Ủy ban nhân dân cấp huyện có trách nhiệm công khai kế hoạch giao rừng, cho thuê rừng, chuyển mục đích sử dụng rừng sang mục đích khác đã được phê duyệt tại trụ sở Ủy ban nhân dân cấp huyện và Ủy ban nhân dân cấp xã có rừng giao, cho thuê, chuyển mục đích sử dụng rừng sang mục đích khác trong thời gian 30 ngày, kể từ ngày kế hoạch được phê duyệt.</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w:t>
            </w:r>
            <w:r w:rsidRPr="00E00BCF">
              <w:rPr>
                <w:rFonts w:ascii="Times New Roman" w:hAnsi="Times New Roman" w:cs="Times New Roman"/>
                <w:b/>
                <w:bCs/>
                <w:sz w:val="24"/>
                <w:szCs w:val="24"/>
                <w:lang w:val="vi-VN"/>
              </w:rPr>
              <w:t xml:space="preserve"> </w:t>
            </w:r>
            <w:r w:rsidRPr="00E00BCF">
              <w:rPr>
                <w:rFonts w:ascii="Times New Roman" w:hAnsi="Times New Roman" w:cs="Times New Roman"/>
                <w:b/>
                <w:bCs/>
                <w:sz w:val="24"/>
                <w:szCs w:val="24"/>
              </w:rPr>
              <w:t>Điều 35</w:t>
            </w:r>
            <w:r w:rsidRPr="00E00BCF">
              <w:rPr>
                <w:rFonts w:ascii="Times New Roman" w:hAnsi="Times New Roman" w:cs="Times New Roman"/>
                <w:b/>
                <w:bCs/>
                <w:sz w:val="24"/>
                <w:szCs w:val="24"/>
                <w:lang w:val="vi-VN"/>
              </w:rPr>
              <w:t xml:space="preserve"> </w:t>
            </w:r>
            <w:r w:rsidRPr="00E00BCF">
              <w:rPr>
                <w:rFonts w:ascii="Times New Roman" w:hAnsi="Times New Roman" w:cs="Times New Roman"/>
                <w:b/>
                <w:bCs/>
                <w:sz w:val="24"/>
                <w:szCs w:val="24"/>
              </w:rPr>
              <w:t>đã được sửa đổi, bổ sung tại điểm b khoản 30 Điều 1 Nghị định số 91/2024/NĐ-CP</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3. Phê duyệt kế hoạch giao rừng, cho thuê rừng, chuyển mục đích sử dụng rừng sang mục đích khác</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a) Quý III hàng năm, Ủy ban nhân dân cấp huyện gửi hồ sơ kế hoạch giao rừng, cho thuê rừng, chuyển mục đích sử dụng rừng sang mục đích khác đến Sở Nông nghiệp và Phát triển nông thôn;</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Hồ sơ bao gồm: Tờ trình theo Mẫu số 05 Phụ lục II kèm theo Nghị định này; kế hoạch giao rừng, cho thuê rừng, chuyển mục đích sử dụng rừng sang mục đích khác; bản đồ kế hoạch giao rừng, cho thuê rừng, chuyển mục đích sử dụng rừng sang mục đích khác;</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Trong thời gian 15 ngày kể từ ngày nhận đủ hồ sơ, Sở Nông nghiệp và Phát triển nông thôn tổ chức thẩm định hồ sơ kế hoạch giao rừng, cho thuê rừng, chuyển mục đích sử dụng rừng sang mục đích khác cấp huyện và trình Ủy ban nhân dân cấp tỉnh phê duyệt. Nội dung Tờ trình của Sở Nông nghiệp và Phát triển nông thôn theo Mẫu số 06 Phụ lục II kèm theo Nghị định này;</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Trường hợp hồ sơ không đầy đủ, chính xác, Sở Nông nghiệp và Phát triển nông thôn có văn bản, nêu rõ lý do gửi Ủy ban nhân dân cấp huyện hoàn thiện hồ sơ trong thời gian 15 ngày;</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c) Trong thời gian 05 ngày kể từ ngày nhận được hồ sơ do Sở Nông nghiệp và Phát triển nông thôn trình, Ủy ban nhân dân cấp tỉnh xem xét, quyết định phê duyệt kế hoạch giao rừng, cho thuê rừng, chuyển mục đích sử dụng rừng sang mục đích khác cấp huyện theo Mẫu số 07 Phụ lục II kèm theo Nghị định này;</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d) Ủy ban nhân dân cấp tỉnh có trách nhiệm phê duyệt kế hoạch giao rừng, cho thuê rừng, chuyển mục đích sử dụng rừng sang mục đích khác hằng năm của cấp huyện xong trước ngày 31 tháng 12 hằng năm.</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5 Điều 35</w:t>
            </w:r>
            <w:r w:rsidRPr="00E00BCF">
              <w:rPr>
                <w:rFonts w:ascii="Times New Roman" w:hAnsi="Times New Roman" w:cs="Times New Roman"/>
                <w:b/>
                <w:bCs/>
                <w:sz w:val="24"/>
                <w:szCs w:val="24"/>
                <w:lang w:val="vi-VN"/>
              </w:rPr>
              <w:t xml:space="preserve"> </w:t>
            </w:r>
            <w:r w:rsidRPr="00E00BCF">
              <w:rPr>
                <w:rFonts w:ascii="Times New Roman" w:hAnsi="Times New Roman" w:cs="Times New Roman"/>
                <w:b/>
                <w:bCs/>
                <w:sz w:val="24"/>
                <w:szCs w:val="24"/>
              </w:rPr>
              <w:t>đã được sửa đổi, bổ sung tại điểm b khoản 30 Điều 1 Nghị định số 91/2024/NĐ-CP</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5. Điều chỉnh kế hoạch giao rừng, cho thuê rừng, chuyển mục đích sử dụng rừng sang mục đích khác</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 xml:space="preserve">a) Việc điều chỉnh kế hoạch giao rừng, cho thuê rừng, chuyển mục đích sử dụng rừng sang mục đích khác chỉ được thực hiện do điều chỉnh quy hoạch, kế hoạch cấp trên trực tiếp làm thay đổi cơ cấu loại rừng (rừng đặc dụng, rừng phòng hộ, rừng sản xuất) của cấp huyện; do việc thành lập, sáp nhập, chia, tách, điều chỉnh địa giới đơn vị hành chính của địa phương; do tác động của thiên tai, ứng phó sự cố về môi trường làm thay đổi </w:t>
            </w:r>
            <w:r w:rsidRPr="00E00BCF">
              <w:rPr>
                <w:rFonts w:ascii="Times New Roman" w:hAnsi="Times New Roman" w:cs="Times New Roman"/>
                <w:bCs/>
                <w:sz w:val="24"/>
                <w:szCs w:val="24"/>
              </w:rPr>
              <w:lastRenderedPageBreak/>
              <w:t>mục đích sử dụng rừng; có biến động về nguồn lực thực hiện kế hoạch, hình thành dự án trọng điểm phục vụ lợi ích quốc gia, lợi ích công cộng làm thay đổi định hướng sử dụng rừng.</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shd w:val="clear" w:color="auto" w:fill="FFFFFF"/>
              <w:jc w:val="both"/>
              <w:rPr>
                <w:rFonts w:ascii="Times New Roman" w:eastAsia="Times New Roman" w:hAnsi="Times New Roman" w:cs="Times New Roman"/>
                <w:b/>
                <w:bCs/>
                <w:sz w:val="24"/>
                <w:szCs w:val="24"/>
              </w:rPr>
            </w:pPr>
            <w:r w:rsidRPr="00E00BCF">
              <w:rPr>
                <w:rFonts w:ascii="Times New Roman" w:eastAsia="Times New Roman" w:hAnsi="Times New Roman" w:cs="Times New Roman"/>
                <w:b/>
                <w:bCs/>
                <w:sz w:val="24"/>
                <w:szCs w:val="24"/>
              </w:rPr>
              <w:t>Điều 36. Trình tự, thủ tục giao rừng, cho thuê rừng[35]</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1. Trình tự, thủ tục giao rừng cho hộ gia đình, cá nhân và cộng đồng dân cư</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a) Hồ sơ bao gồm: Đề nghị giao rừng theo Mẫu số 08 (đối với hộ gia đình, cá nhân), Mẫu số 09 (đối với cộng đồng dân cư) Phụ lục II kèm theo Nghị định này.</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b) Hộ gia đình, cá nhân và cộng đồng dân cư gửi 01 bộ hồ sơ trực tiếp hoặc qua dịch vụ bưu chính hoặc qua môi trường điện tử (nếu có) đến Ủy ban nhân dân cấp xã. Trường hợp nộp qua môi trường điện tử: thành phần hồ sơ phải được kê khai và ký chữ ký số hợp lệ trên các biểu mẫu điện tử được cung cấp sẵn theo quy định tại khoản 1, khoản 2 Điều 9 Nghị định số 45/2020/NĐ-CP ngày 08 tháng 4 năm 2020 của Chính phủ về thực hiện thủ tục hành chính trên môi trường điện tử;</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Trường hợp hồ sơ không hợp lệ, trong thời gian 03 ngày làm việc kể từ ngày nhận được hồ sơ, Ủy ban nhân dân cấp xã trả lời bằng văn bản và nêu rõ lý do;</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c) Trong thời gian 05 ngày kể từ ngày nhận được hồ sơ hợp lệ, Ủy ban nhân dân cấp xã chuyển đề nghị giao rừng của hộ gia đình, cá nhân, cộng đồng dân cư gửi đến Hạt Kiểm lâm cấp huyện hoặc cơ quan chuyên môn về lâm nghiệp thuộc Ủy ban nhân dân cấp huyện ở nơi không có Hạt Kiểm lâm (sau đây viết tắt là cơ quan chuyên môn về lâm nghiệp cấp huyện);</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d) Trong thời gian 30 ngày, cơ quan chuyên môn về lâm nghiệp cấp huyện tiếp nhận hồ sơ đề nghị giao rừng của hộ gia đình, cá nhân, cộng đồng dân cư do Ủy ban nhân dân cấp xã chuyển đến, có trách nhiệm: phối hợp với Phòng Tài nguyên và Môi trường kiểm tra nội dung giao rừng theo quy định tại các Điều 14, 15 và 16 Luật Lâm nghiệp; phối hợp với Ủy ban nhân dân cấp xã tổ chức kiểm tra hiện trạng khu rừng tại thực địa (vị trí, ranh giới, tranh chấp); lập tờ trình kèm theo hồ sơ trình Ủy ban nhân dân cấp huyện xem xét, quyết định giao rừng cho hộ gia đình, cá nhân, cộng đồng dân cư;</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Trường hợp không đủ điều kiện, cơ quan chuyên môn về lâm nghiệp cấp huyện trả lời bằng văn bản và nêu rõ lý do;</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đ) Trong thời gian 05 ngày kể từ ngày nhận được hồ sơ do cơ quan chuyên môn về lâm nghiệp cấp huyện trình, Ủy ban nhân dân cấp huyện xem xét, quyết định giao rừng cho hộ gia đình, cá nhân, cộng đồng dân cư theo Mẫu số 10 Phụ lục II kèm theo Nghị định này. Trường hợp không đủ điều kiện quyết định, Ủy ban nhân dân cấp huyện trả lời bằng văn bản và nêu rõ lý do;</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e) Trong thời gian 10 ngày kể từ ngày nhận được quyết định giao rừng của Ủy ban nhân dân cấp huyện, cơ quan chuyên môn về lâm nghiệp cấp huyện phối hợp với Ủy ban nhân dân cấp xã tổ chức bàn giao rừng tại thực địa cho hộ gia đình, cá nhân, cộng đồng dân cư. Việc bàn giao phải xác định rõ vị trí, ranh giới, diện tích, hiện trạng, trữ lượng, điều kiện lập địa, loài cây, năm trồng đối với rừng trồng, bản đồ khu rừng được giao và lập thành biên bản, có ký tên của đại diện Ủy ban nhân dân cấp xã, đại diện các chủ rừng liền kề theo Mẫu số 11 Phụ lục II kèm theo Nghị định này.</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2. Trình tự, thủ tục giao rừng cho tổ chức</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a) Hồ sơ bao gồm: Đề nghị giao rừng theo Mẫu số 13 Phụ lục II kèm theo Nghị định này; dự án đầu tư đối với khu rừng đề nghị giao (bản chính).</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b) Tổ chức gửi 01 bộ hồ sơ trực tiếp hoặc qua dịch vụ bưu chính hoặc qua môi trường điện tử (nếu có) đến Sở Nông nghiệp và Phát triển nông thôn;</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lastRenderedPageBreak/>
              <w:t>Trường hợp nộp qua môi trường điện tử: thành phần hồ sơ phải được kê khai và ký chữ ký số trên các biểu mẫu điện tử được cung cấp sẵn theo quy định tại khoản 1, khoản 2 Điều 9 Nghị định số 45/2020/NĐ-CP ngày 08 tháng 4 năm 2020 của Chính phủ về thực hiện thủ tục hành chính trên môi trường điện tử;</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Trường hợp hồ sơ không hợp lệ, trong thời gian 03 ngày làm việc kể từ ngày nhận được hồ sơ, Sở Nông nghiệp và Phát triển nông thôn trả lời bằng văn bản và nêu rõ lý do;</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c) Trong thời gian 30 ngày kể từ ngày nhận được hồ sơ đầy đủ, chính xác của tổ chức, Sở Nông nghiệp và Phát triển nông thôn có trách nhiệm: chủ trì, phối hợp với Sở Tài nguyên và Môi trường kiểm tra hồ sơ giao rừng và nội dung giao rừng theo quy định tại các Điều 14, 15 và 16 Luật Lâm nghiệp; chủ trì, phối hợp với Ủy ban nhân dân cấp huyện, Ủy ban nhân dân cấp xã tổ chức kiểm tra hiện trạng khu rừng tại thực địa dự kiến giao; lập tờ trình kèm theo hồ sơ, trình Ủy ban nhân dân cấp tỉnh xem xét, quyết định giao rừng cho tổ chức. Trường hợp không đủ điều kiện, Sở Nông nghiệp và Phát triển nông thôn trả lời bằng văn bản và nêu rõ lý do;</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d) Trong thời gian 05 ngày kể từ ngày nhận được hồ sơ và tờ trình do Sở Nông nghiệp và Phát triển nông thôn trình, Ủy ban nhân dân cấp tỉnh xem xét, ký quyết định giao rừng cho tổ chức theo Mẫu số 14 Phụ lục II kèm theo Nghị định này. Trường hợp không đủ điều kiện, Ủy ban nhân dân cấp tỉnh trả lời bằng văn bản và nêu rõ lý do;</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đ) Trong thời gian 10 ngày kể từ ngày nhận được Quyết định giao rừng của Ủy ban nhân dân cấp tỉnh, Sở Nông nghiệp và Phát triển nông thôn thông báo cho tổ chức thực hiện nghĩa vụ tài chính (nếu có); phối hợp với Ủy ban nhân dân cấp huyện, Ủy ban nhân dân cấp xã tổ chức bàn giao rừng tại thực địa cho tổ chức. Việc bàn giao phải xác định rõ vị trí, ranh giới, diện tích, hiện trạng, trữ lượng, điều kiện lập địa, loài cây, năm trồng đối với rừng trồng, bản đồ khu rừng được giao và lập thành biên bản có sự tham gia và ký tên của đại diện Ủy ban nhân dân cấp huyện, Ủy ban nhân dân cấp xã, đại diện các chủ rừng liền kề theo Mẫu số 15 Phụ lục II kèm theo Nghị định này.</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3. Trình tự, thủ tục cho thuê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a) Xây dựng phương án đấu giá cho thuê rừng: trong thời gian 30 ngày kể từ ngày kế hoạch cho thuê rừng được cấp có thẩm quyền phê duyệt, cơ quan chuyên môn về lâm nghiệp cấp huyện (đối với trường hợp thuê rừng là hộ gia đình, cá nhân) hoặc Sở Nông nghiệp và Phát triển nông thôn (đối với trường hợp thuê rừng là tổ chức) xây dựng phương án đấu giá cho thuê rừng trình Ủy ban nhân dân cấp huyện hoặc cấp tỉnh phê duyệt theo Mẫu số 16 Phụ lục II kèm theo Nghị định này;</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b) Xác định giá khởi điểm cho thuê rừng: trong thời gian 20 ngày kể từ ngày phương án đấu giá cho thuê rừng được phê duyệt, Sở Nông nghiệp và Phát triển nông thôn xác định giá khởi điểm cho thuê rừng, trình Ủy ban nhân dân cấp tỉnh phê duyệt theo quy định của pháp luật về lâm nghiệp và pháp luật có liên quan;</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c) Phê duyệt giá khởi điểm cho thuê rừng: trong thời gian 10 ngày kể từ ngày nhận được tờ trình của Sở Nông nghiệp và Phát triển nông thôn, Ủy ban nhân dân cấp tỉnh xem xét, phê duyệt giá khởi điểm cho thuê rừng (giá khởi điểm cho thuê rừng được phê duyệt là căn cứ để thực hiện việc đấu giá cho thuê rừng). Trường hợp không phê duyệt, Ủy ban nhân dân cấp tỉnh trả lời bằng văn bản và nêu rõ lý do;</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d) Ký hợp đồng dịch vụ đấu giá cho thuê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 xml:space="preserve">Trong thời gian 10 ngày kể từ ngày được Ủy ban nhân dân cấp tỉnh phê duyệt giá khởi điểm cho thuê rừng, cơ quan chuyên môn về lâm nghiệp cấp huyện (đối với trường hợp thuê rừng là hộ gia đình, cá nhân) hoặc Sở Nông nghiệp và Phát triển nông thôn (đối với trường hợp thuê rừng là tổ chức) ký kết hợp đồng dịch vụ đấu giá tài sản với tổ chức đấu giá tài sản theo phương án đã được phê duyệt để thực hiện việc đấu giá cho thuê </w:t>
            </w:r>
            <w:r w:rsidRPr="00E00BCF">
              <w:rPr>
                <w:rFonts w:ascii="Times New Roman" w:eastAsia="Times New Roman" w:hAnsi="Times New Roman" w:cs="Times New Roman"/>
                <w:bCs/>
                <w:sz w:val="24"/>
                <w:szCs w:val="24"/>
              </w:rPr>
              <w:lastRenderedPageBreak/>
              <w:t>rừng. Hợp đồng dịch vụ đấu giá tài sản phải được lập thành văn bản, được thực hiện theo quy định của pháp luật về dân sự và quy định của Luật Đấu giá tài sản;</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đ) Trong thời gian 30 ngày kể từ ngày ký kết hợp đồng đấu giá cho thuê rừng, tổ chức đấu giá tài sản đã được ký hợp đồng dịch vụ đấu giá tài sản có trách nhiệm thực hiện trình tự, thủ tục đấu giá cho thuê rừng theo quy định của pháp luật về đấu giá và pháp luật có liên quan.</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e) Phê duyệt kết quả đấu giá cho thuê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Trong thời gian 05 ngày kể từ ngày nhận được kết quả đấu giá, Biên bản đấu giá, danh sách người trúng đấu giá, Ủy ban nhân dân cấp có thẩm quyền ban hành quyết định công nhận kết quả trúng đấu giá cho thuê rừng gửi cho cơ quan chuyên môn về lâm nghiệp cấp huyện (trường hợp thuê rừng là hộ gia đình, cá nhân), Sở Nông nghiệp và Phát triển nông thôn (trường hợp thuê rừng là tổ chức), đơn vị tổ chức thực hiện việc đấu giá cho thuê rừng, cơ quan thuế và người đã trúng đấu giá cho thuê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g) Nộp tiền thuê rừng sau khi có quyết định công nhận kết quả trúng đấu giá cho thuê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Trong thời gian 30 ngày kể từ ngày có quyết định công nhận kết quả trúng đấu giá cho thuê rừng, tổ chức, hộ gia đình, cá nhân trúng đấu giá cho thuê rừng có trách nhiệm nộp tiền thuê rừng vào Kho bạc nhà nước và chuyển chứng từ đã nộp tiền cho cơ quan chuyên môn về lâm nghiệp cấp huyện (trường hợp thuê rừng là hộ gia đình, cá nhân), Sở Nông nghiệp và Phát triển nông thôn (trường hợp thuê rừng là tổ chức) để báo cáo Ủy ban nhân dân cùng cấp quyết định cho thuê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h) Quyết định cho thuê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Trong thời gian 10 ngày kể từ ngày tổ chức, hộ gia đình, cá nhân trúng đấu giá đã hoàn thành nghĩa vụ tài chính, Ủy ban nhân dân cấp huyện có trách nhiệm xem xét, ký quyết định cho thuê rừng cho hộ gia đình, cá nhân theo Mẫu số 10 Phụ lục II kèm theo Nghị định này; ký hợp đồng cho thuê rừng theo Mẫu số 12 Phụ lục II kèm theo Nghị định này; chỉ đạo cơ quan chuyên môn về lâm nghiệp cấp huyện tổ chức bàn giao rừng theo quy định tại điểm e khoản 1 Điều này. Ủy ban nhân dân cấp tỉnh có trách nhiệm xem xét, ký quyết định cho thuê rừng cho tổ chức theo Mẫu số 14 Phụ lục II kèm theo Nghị định này; chỉ đạo Sở Nông nghiệp và Phát triển nông thôn ký hợp đồng cho thuê rừng theo Mẫu số 12 kèm theo Phụ lục II Nghị định này, tổ chức bàn giao rừng theo quy định tại điểm đ khoản 2 Điều này.</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Trường hợp quá thời gian theo quy định tại điểm g khoản này, tổ chức, hộ gia đình, cá nhân trúng đấu giá không nộp đủ tiền theo kết quả trúng đấu giá thì cơ quan chuyên môn về lâm nghiệp cấp huyện (đối với trường hợp thuê rừng là hộ gia đình, cá nhân) hoặc Sở Nông nghiệp và Phát triển nông thôn (đối với trường hợp thuê rừng là tổ chức) trình Ủy ban nhân dân cùng cấp quyết định hủy công nhận kết quả trúng đấu giá.</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4. Điều tra, đánh giá hiện trạng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a) Điều tra, đánh giá hiện trạng rừng và lập bản đồ hiện trạng rừng làm cơ sở thực hiện giao rừng, cho thuê rừng. Nội dung điều tra, đánh giá hiện trạng rừng thực hiện theo quy định tại điểm b khoản này;</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b) Nội dung điều tra, đánh giá hiện trạng rừng bao gồm: vị trí (gồm: tọa độ vị trí, tiểu khu, khoảnh, lô), ranh giới khu rừng, địa danh hành chính khu rừng; diện tích rừng phân theo: loại rừng (đặc dụng, phòng hộ, sản xuất), nguồn gốc hình thành rừng (tự nhiên, rừng trồng), chủ quản lý; trữ lượng rừng, loài cây và năm trồng (đối với rừng trồng); xác định các loài động, thực vật rừng nguy cấp, quý, hiếm (nếu có); xây dựng bản đồ điều tra, đánh giá hiện trạng khu rừng;</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Phương pháp điều tra, đánh giá hiện trạng rừng thực hiện theo quy định của Bộ trưởng Bộ Nông nghiệp và Phát triển nông thôn.</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 xml:space="preserve">c) Cơ quan chuyên môn về lâm nghiệp có trách nhiệm kiểm tra và xác nhận kết quả điều tra, đánh giá hiện trạng rừng, bản đồ điều tra đánh giá hiện trạng rừng đối với trường hợp giao rừng, cho thuê rừng cho hộ gia đình, cá nhân, cộng đồng dân cư. Sở Nông nghiệp và Phát triển nông </w:t>
            </w:r>
            <w:r w:rsidRPr="00E00BCF">
              <w:rPr>
                <w:rFonts w:ascii="Times New Roman" w:eastAsia="Times New Roman" w:hAnsi="Times New Roman" w:cs="Times New Roman"/>
                <w:bCs/>
                <w:sz w:val="24"/>
                <w:szCs w:val="24"/>
              </w:rPr>
              <w:lastRenderedPageBreak/>
              <w:t>thôn có trách nhiệm kiểm tra và xác nhận kết quả điều tra, đánh giá hiện trạng rừng, bản đồ điều tra, đánh giá hiện trạng rừng đối với trường hợp giao rừng, cho thuê rừng cho tổ chức.</w:t>
            </w:r>
          </w:p>
          <w:p w:rsidR="00E00BCF" w:rsidRPr="00E00BCF" w:rsidRDefault="00E00BCF" w:rsidP="0027089E">
            <w:pPr>
              <w:shd w:val="clear" w:color="auto" w:fill="FFFFFF"/>
              <w:jc w:val="both"/>
              <w:rPr>
                <w:rFonts w:ascii="Times New Roman" w:eastAsia="Times New Roman" w:hAnsi="Times New Roman" w:cs="Times New Roman"/>
                <w:bCs/>
                <w:sz w:val="24"/>
                <w:szCs w:val="24"/>
              </w:rPr>
            </w:pPr>
            <w:r w:rsidRPr="00E00BCF">
              <w:rPr>
                <w:rFonts w:ascii="Times New Roman" w:eastAsia="Times New Roman" w:hAnsi="Times New Roman" w:cs="Times New Roman"/>
                <w:bCs/>
                <w:sz w:val="24"/>
                <w:szCs w:val="24"/>
              </w:rPr>
              <w:t>d) Kinh phí thực hiện điều tra, đánh giá hiện trạng rừng</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bCs/>
                <w:sz w:val="24"/>
                <w:szCs w:val="24"/>
              </w:rPr>
              <w:t>Kinh phí điều tra, đánh giá hiện trạng rừng đối với trường hợp giao rừng cho hộ gia đình, cá nhân, cộng đồng dân cư được chi trả bằng nguồn ngân sách nhà nước và các nguồn vốn hợp pháp theo quy định. Đối với trường hợp giao rừng, cho thuê rừng cho tổ chức do tổ chức đề nghị được giao rừng, cho thuê rừng chi trả.</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 Điều 39</w:t>
            </w:r>
            <w:r w:rsidRPr="00E00BCF">
              <w:rPr>
                <w:rFonts w:ascii="Times New Roman" w:hAnsi="Times New Roman" w:cs="Times New Roman"/>
                <w:b/>
                <w:bCs/>
                <w:sz w:val="24"/>
                <w:szCs w:val="24"/>
                <w:lang w:val="vi-VN"/>
              </w:rPr>
              <w:t xml:space="preserve"> </w:t>
            </w:r>
            <w:r w:rsidRPr="00E00BCF">
              <w:rPr>
                <w:rFonts w:ascii="Times New Roman" w:hAnsi="Times New Roman" w:cs="Times New Roman"/>
                <w:b/>
                <w:bCs/>
                <w:sz w:val="24"/>
                <w:szCs w:val="24"/>
              </w:rPr>
              <w:t>đã được sửa đổi, bổ sung tại điểm b khoản 30 Điều 1 Nghị định số 91/2024/NĐ-CP</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19. Sửa đổi, bổ sung khoản 1 Điều 39 như sau:</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“1. Ủy ban nhân dân cấp huyện có trách nhiệm xây dựng phương án chuyển loại rừng đối với diện tích rừng của chủ rừng là hộ gia đình, cá nhân, cộng đồng dân cư, Ủy ban nhân dân cấp xã quản lý; Sở Nông nghiệp và Phát triển nông thôn có trách nhiệm xây dựng phương án chuyển loại rừng đối với diện tích rừng của chủ rừng là tổ chức, khu rừng do Thủ tướng Chính phủ thành lập thuộc Ủy ban nhân dân cấp tỉnh quản lý; Vườn quốc gia thuộc Bộ Nông nghiệp và Phát triển nông thôn có trách nhiệm xây dựng phương án chuyển loại rừng được giao quản lý.”</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điểm c khoản 2 Điều 41b</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2. Đối với dự án đã được Quốc hội, Thủ tướng Chính phủ, Hội đồng nhân dân cấp tỉnh chấp thuận hoặc quyết định chủ trương đầu tư dự án theo quy định của Luật Đầu tư, Luật Đầu tư công, Luật Đầu tư theo phương thức đối tác công tư, Luật Dầu khí nếu có thay đổi về quy mô diện tích rừng cần chuyển mục đích sử dụng sang mục đích khác để thực hiện dự án thì thực hiện như sau:</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a) Dự án thay đổi quy mô diện tích rừng cần chuyển mục đích sử dụng sang mục đích khác nhưng không thuộc trường hợp phải điều chỉnh chủ trương đầu tư dự án theo quy định của Luật Đầu tư, Luật Đầu tư công, Luật Đầu tư theo phương thức đối tác công tư, Luật Dầu khí thì Ủy ban nhân dân cấp tỉnh hoặc Ủy ban nhân dân cấp huyện quyết định chuyển mục đích sử dụng rừng sang mục đích khác đối với diện tích rừng có sự thay đổi; trình tự, thủ tục thực hiện theo quy định tại </w:t>
            </w:r>
            <w:bookmarkStart w:id="2" w:name="tc_23"/>
            <w:r w:rsidRPr="00E00BCF">
              <w:rPr>
                <w:rFonts w:ascii="Times New Roman" w:hAnsi="Times New Roman" w:cs="Times New Roman"/>
                <w:bCs/>
                <w:sz w:val="24"/>
                <w:szCs w:val="24"/>
              </w:rPr>
              <w:t>Điều 42 Nghị định này</w:t>
            </w:r>
            <w:bookmarkEnd w:id="2"/>
            <w:r w:rsidRPr="00E00BCF">
              <w:rPr>
                <w:rFonts w:ascii="Times New Roman" w:hAnsi="Times New Roman" w:cs="Times New Roman"/>
                <w:bCs/>
                <w:sz w:val="24"/>
                <w:szCs w:val="24"/>
              </w:rPr>
              <w:t>.</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c) Dự án điều chỉnh chủ trương đầu tư, trong đó có thay đổi về quy mô diện tích rừng cần chuyển mục đích sử dụng sang mục đích khác đã được quyết định chủ trương chuyển mục đích sử dụng rừng sang mục đích khác, Cơ quan chủ trì thẩm định lấy ý kiến của Bộ Nông nghiệp và Phát triển nông thôn, Ủy ban nhân dân cấp tỉnh hoặc Sở Nông nghiệp và Phát triển nông thôn, Ủy ban nhân dân cấp huyện nơi thực hiện dự án theo quy định tại </w:t>
            </w:r>
            <w:bookmarkStart w:id="3" w:name="tc_24"/>
            <w:r w:rsidRPr="00E00BCF">
              <w:rPr>
                <w:rFonts w:ascii="Times New Roman" w:hAnsi="Times New Roman" w:cs="Times New Roman"/>
                <w:bCs/>
                <w:sz w:val="24"/>
                <w:szCs w:val="24"/>
              </w:rPr>
              <w:t>điểm c khoản 4 Điều 41 Nghị định này</w:t>
            </w:r>
            <w:bookmarkEnd w:id="3"/>
            <w:r w:rsidRPr="00E00BCF">
              <w:rPr>
                <w:rFonts w:ascii="Times New Roman" w:hAnsi="Times New Roman" w:cs="Times New Roman"/>
                <w:bCs/>
                <w:sz w:val="24"/>
                <w:szCs w:val="24"/>
              </w:rPr>
              <w:t>.</w:t>
            </w:r>
          </w:p>
        </w:tc>
      </w:tr>
      <w:tr w:rsidR="00E00BCF" w:rsidRPr="00E00BCF" w:rsidTr="00091924">
        <w:trPr>
          <w:jc w:val="center"/>
        </w:trPr>
        <w:tc>
          <w:tcPr>
            <w:tcW w:w="846" w:type="dxa"/>
            <w:shd w:val="clear" w:color="auto" w:fill="auto"/>
          </w:tcPr>
          <w:p w:rsidR="00E00BCF" w:rsidRPr="00091924" w:rsidRDefault="00E00BCF" w:rsidP="0027089E">
            <w:pPr>
              <w:ind w:left="360"/>
              <w:jc w:val="both"/>
              <w:rPr>
                <w:rFonts w:ascii="Times New Roman" w:hAnsi="Times New Roman" w:cs="Times New Roman"/>
                <w:b/>
                <w:sz w:val="24"/>
                <w:szCs w:val="24"/>
              </w:rPr>
            </w:pPr>
          </w:p>
        </w:tc>
        <w:tc>
          <w:tcPr>
            <w:tcW w:w="14039" w:type="dxa"/>
            <w:shd w:val="clear" w:color="auto" w:fill="auto"/>
          </w:tcPr>
          <w:p w:rsidR="00E00BCF" w:rsidRPr="00E00BCF" w:rsidRDefault="00E00BCF" w:rsidP="0027089E">
            <w:pPr>
              <w:tabs>
                <w:tab w:val="left" w:pos="851"/>
                <w:tab w:val="left" w:pos="1467"/>
                <w:tab w:val="left" w:pos="1701"/>
              </w:tabs>
              <w:jc w:val="both"/>
              <w:rPr>
                <w:rFonts w:ascii="Times New Roman" w:eastAsia="Calibri" w:hAnsi="Times New Roman" w:cs="Times New Roman"/>
                <w:b/>
                <w:iCs/>
                <w:sz w:val="24"/>
                <w:szCs w:val="24"/>
              </w:rPr>
            </w:pPr>
            <w:r w:rsidRPr="00E00BCF">
              <w:rPr>
                <w:rFonts w:ascii="Times New Roman" w:eastAsia="Calibri" w:hAnsi="Times New Roman" w:cs="Times New Roman"/>
                <w:b/>
                <w:iCs/>
                <w:sz w:val="24"/>
                <w:szCs w:val="24"/>
                <w:lang w:val="vi-VN"/>
              </w:rPr>
              <w:t>K</w:t>
            </w:r>
            <w:r w:rsidRPr="00E00BCF">
              <w:rPr>
                <w:rFonts w:ascii="Times New Roman" w:eastAsia="Calibri" w:hAnsi="Times New Roman" w:cs="Times New Roman"/>
                <w:b/>
                <w:iCs/>
                <w:sz w:val="24"/>
                <w:szCs w:val="24"/>
              </w:rPr>
              <w:t>hoản 3 Điều 42</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Trình tự, thủ tục</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Tổ chức, cá nhân có dự án đề nghị quyết định chuyển mục đích sử dụng rừng sang mục đích khác gửi trực tiếp hoặc qua dịch vụ bưu chính hoặc qua môi trường điện tử 01 bộ hồ sơ theo quy định tại khoản 2 Điều này đến Sở Nông nghiệp và Phát triển nông thôn đối với tổ chức hoặc cơ quan chuyên môn về lâm nghiệp cấp huyện đối với cá nhân;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 xml:space="preserve">b) Trong thời gian 10 ngày kể từ ngày nhận được đề nghị quyết định chuyển mục đích sử dụng rừng sang mục đích khác của tổ chức, cá nhân: Sở Nông nghiệp và Phát triển nông thôn lập Tờ trình đề nghị Ủy ban nhân dân cấp tỉnh quyết định chuyển mục đích sử dụng rừng sang mục đích khác đối với tổ chức theo Mẫu số 22 Phụ lục II kèm theo Nghị định này, kèm theo hồ sơ theo quy định tại khoản 2 Điều này. Cơ quan chuyên </w:t>
            </w:r>
            <w:r w:rsidRPr="00E00BCF">
              <w:rPr>
                <w:rFonts w:ascii="Times New Roman" w:eastAsia="Times New Roman" w:hAnsi="Times New Roman" w:cs="Times New Roman"/>
                <w:sz w:val="24"/>
                <w:szCs w:val="24"/>
              </w:rPr>
              <w:lastRenderedPageBreak/>
              <w:t>môn về lâm nghiệp cấp huyện lập Tờ trình đề nghị Ủy ban nhân dân cấp huyện quyết định chuyển mục đích sử dụng rừng sang mục đích khác đối với cá nhân theo Mẫu số 23 Phụ lục II kèm theo Nghị định này và kèm theo hồ sơ theo quy định tại khoản 2 Điều này;</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Trường hợp hồ sơ không hợp lệ, trong thời gian 03 ngày làm việc kể từ ngày nhận được hồ sơ của tổ chức, cá nhân, Sở Nông nghiệp và Phát triển nông thôn hoặc cơ quan chuyên môn về lâm nghiệp cấp huyện có văn bản trả lời và nêu rõ lý do;</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Trong thời gian 10 ngày kể từ ngày nhận được Tờ trình và hồ sơ, Ủy ban nhân cấp tỉnh ban hành quyết định chuyển mục đích sử dụng rừng sang mục đích khác đối với tổ chức theo Mẫu số 24 Phụ lục II kèm theo Nghị định này, Ủy ban nhân dân cấp huyện ban hành Quyết định chuyển mục đích sử dụng rừng sang mục đích khác đối với cá nhân theo Mẫu số 25 Phụ lục II kèm theo Nghị định này. Trường hợp không quyết định chuyển mục đích sử dụng rừng sang mục đích khác, trong thời gian 05 ngày kể từ ngày nhận được Tờ trình và hồ sơ của Sở Nông nghiệp và Phát triển nông thôn hoặc Cơ quan chuyên môn về lâm nghiệp cấp huyện, Ủy ban nhân dân cấp tỉnh hoặc Ủy ban nhân dân cấp huyện có văn bản trả lời và nêu rõ lý do.</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5, khoản 6 Điều 42</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5. Đối với diện tích rừng đã được cấp có thẩm quyền quyết định chủ trương chuyển mục đích sử dụng rừng sang mục đích khác hoặc quyết định chuyển mục đích sử dụng rừng sang mục đích khác để thực hiện dự án nhưng dự án không có nhu cầu sử dụng hoặc sử dụng ít hơn diện tích rừng đã được quyết định, Ủy ban nhân dân cấp tỉnh hoặc Ủy ban nhân dân cấp huyện phải đưa diện tích rừng vào quản lý theo quy định của pháp luật về lâm nghiệp.</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6. Ủy ban nhân dân cấp tỉnh, Ủy ban nhân dân cấp huyện chịu trách nhiệm về việc quyết định chuyển mục đích sử dụng rừng sang mục đích khác.</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Điều 43 (được sửa đổi, bổ sung tại khoản 25 Điều 1 Nghị định số 91/2024/NĐ-CP)</w:t>
            </w:r>
          </w:p>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4" w:name="dieu_43"/>
            <w:r w:rsidRPr="00E00BCF">
              <w:rPr>
                <w:rFonts w:ascii="Times New Roman" w:eastAsia="Times New Roman" w:hAnsi="Times New Roman" w:cs="Times New Roman"/>
                <w:b/>
                <w:bCs/>
                <w:sz w:val="24"/>
                <w:szCs w:val="24"/>
              </w:rPr>
              <w:t>Điều 43. Trình tự, thủ tục thu hồi rừ</w:t>
            </w:r>
            <w:bookmarkEnd w:id="4"/>
            <w:r w:rsidRPr="00E00BCF">
              <w:rPr>
                <w:rFonts w:ascii="Times New Roman" w:eastAsia="Times New Roman" w:hAnsi="Times New Roman" w:cs="Times New Roman"/>
                <w:b/>
                <w:bCs/>
                <w:sz w:val="24"/>
                <w:szCs w:val="24"/>
                <w:lang w:val="vi-VN"/>
              </w:rPr>
              <w:t>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1. Trình tự, thủ tục thu hồi rừng đối với các trường hợp quy định tại các điểm a, b và đ khoản 1 Điều 22 Luật Lâm nghiệp</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Trong thời gian 10 ngày kể từ ngày có kết luận thanh tra, kiểm tra của cơ quan nhà nước có thẩm quyền; cơ quan thanh tra, kiểm tra gửi kết quả thanh tra, kiểm tra đến Sở Nông nghiệp và Phát triển nông thôn, Ủy ban nhân dân cấp huyện, cơ quan chuyên môn về lâm nghiệp cấp huyện và chủ rừng;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Trong thời gian 30 ngày kể từ ngày nhận được kết quả thanh tra, kiểm tra của cơ quan có thẩm quyền, cơ quan chuyên môn về lâm nghiệp cấp huyện đối với chủ rừng là hộ gia đình, cá nhân, cộng đồng dân cư hoặc Sở Nông nghiệp và Phát triển nông thôn đối với chủ rừng là tổ chức có trách nhiệm kiểm tra, xác minh đặc điểm khu rừng, trình Ủy ban nhân dân cùng cấp quyết định thu hồi rừng;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Trong thời gian 10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Trình tự, thủ tục thu hồi rừng đối với trường hợp quy định tại điểm c khoản 1 Điều 22 Luật Lâm nghiệp</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Chủ rừng gửi văn bản trả lại rừng đến cơ quan chuyên môn về lâm nghiệp cấp huyện đối với chủ rừng là hộ gia đình, cá nhân, cộng đồng dân cư; Sở Nông nghiệp và Phát triển nông thôn đối với chủ rừng là tổ chức;</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b) Trong thời gian 15 ngày kể từ ngày nhận được đề nghị của chủ rừng, cơ quan chuyên môn về lâm nghiệp cấp huyện đối với chủ rừng là hộ gia đình, cá nhân, cộng đồng dân cư hoặc Sở Nông nghiệp và Phát triển nông thôn đối với chủ rừng là tổ chức trình Ủy ban nhân dân cấp huyện hoặc Ủy ban nhân dân cấp tỉnh ban hành quyết định thu hồi rừng;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Trình tự, thủ tục thu hồi rừng đối với trường hợp quy định tại điểm d khoản 1 Điều 22 Luật Lâm nghiệp</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Trong thời gian 90 ngày trước khi hết thời gian giao rừng, cho thuê rừng, cơ quan chuyên môn về lâm nghiệp cấp huyện đối với chủ rừng là hộ gia đình, cá nhân, cộng đồng dân cư hoặc Sở Nông nghiệp và Phát triển nông thôn đối với chủ rừng là tổ chức có thông báo đến chủ rừng được giao, được thuê rừng về việc hết thời gian giao rừng, cho thuê rừng mà không được gia hạn;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Trong thời gian 30 ngày trước khi hết thời gian giao rừng, cho thuê rừng, cơ quan chuyên môn về lâm nghiệp cấp huyện đối với chủ rừng là hộ gia đình, cá nhân, cộng đồng dân cư hoặc Sở Nông nghiệp và Phát triển nông thôn đối với chủ rừng là tổ chức trình Ủy ban nhân dân cấp huyện hoặc Ủy ban nhân dân cấp tỉnh xem xét, ban hành quyết định thu hồi rừng;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Trong thời gian 05 ngày kể từ ngày nhận được tờ trình của cơ quan chuyên môn về lâm nghiệp cấp huyện đối với chủ rừng là hộ gia đình, cá nhân, cộng đồng dân cư hoặc Sở Nông nghiệp và Phát triển nông thôn đối với chủ rừng là tổ chức, Ủy ban nhân dân cấp huyện hoặc Ủy ban nhân dân cấp tỉnh xem xét, quyết định thu hồi rừng theo Mẫu số 26 hoặc Mẫu số 27 Phụ lục II kèm theo Nghị định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Trình tự, thủ tục thu hồi rừng đối với trường hợp quy định tại điểm e khoản 1 Điều 22 Luật Lâm nghiệp</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Trong thời gian 10 ngày kể từ ngày nhận được giấy chứng tử của cơ quan nhà nước có thẩm quyền đối với trường hợp cá nhân khi chết không có người thừa kế theo quy định của pháp luật, Ủy ban nhân dân cấp xã có trách nhiệm xác nhận và báo cáo Ủy ban nhân dân cấp huyện việc cá nhân khi chết không có người thừa kế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Trong thời gian 15 ngày kể từ ngày nhận được báo cáo của Ủy ban nhân dân cấp xã, Ủy ban nhân dân cấp huyện thực hiện trình tự, thủ tục thu hồi rừng theo quy định tại điểm b, điểm c khoản 2 Điều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5. Căn cứ quyết định thu hồi rừng được cấp có thẩm quyền phê duyệt, Ủy ban nhân dân cấp tỉnh, Ủy ban nhân dân cấp huyện có trách nhiệm thực hiện việc quản lý rừng theo đúng quy định của pháp luật về lâm nghiệp.</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140/2024/NĐ-CP ngày 25 tháng 10 năm 2024 của Chính phủ quy định về thanh lý rừng trồng</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a, điểm b khoản 1 và khoản 5 Điều 10</w:t>
            </w:r>
          </w:p>
          <w:p w:rsidR="00E00BCF" w:rsidRPr="00E00BCF" w:rsidRDefault="00E00BCF" w:rsidP="0027089E">
            <w:pPr>
              <w:jc w:val="both"/>
              <w:rPr>
                <w:rFonts w:ascii="Times New Roman" w:hAnsi="Times New Roman" w:cs="Times New Roman"/>
                <w:bCs/>
                <w:sz w:val="24"/>
                <w:szCs w:val="24"/>
              </w:rPr>
            </w:pPr>
          </w:p>
          <w:p w:rsidR="00E00BCF" w:rsidRPr="00E00BCF" w:rsidRDefault="00E00BCF" w:rsidP="0027089E">
            <w:pPr>
              <w:jc w:val="both"/>
              <w:rPr>
                <w:rFonts w:ascii="Times New Roman" w:hAnsi="Times New Roman" w:cs="Times New Roman"/>
                <w:b/>
                <w:bCs/>
                <w:sz w:val="24"/>
                <w:szCs w:val="24"/>
                <w:shd w:val="clear" w:color="auto" w:fill="FFFFFF"/>
              </w:rPr>
            </w:pPr>
            <w:bookmarkStart w:id="5" w:name="dieu_10"/>
            <w:r w:rsidRPr="00E00BCF">
              <w:rPr>
                <w:rFonts w:ascii="Times New Roman" w:hAnsi="Times New Roman" w:cs="Times New Roman"/>
                <w:b/>
                <w:bCs/>
                <w:sz w:val="24"/>
                <w:szCs w:val="24"/>
                <w:shd w:val="clear" w:color="auto" w:fill="FFFFFF"/>
              </w:rPr>
              <w:t>Điều 10. Trình tự, thủ tục thanh lý rừng trồng</w:t>
            </w:r>
            <w:bookmarkEnd w:id="5"/>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1. Lập biên bản kiểm tra hiện trường</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Trong thời hạn 03 ngày làm việc kể từ ngày kết thúc đợt thiên tai, dịch bệnh, tổ chức có rừng trồng bị thiệt hại do nguyên nhân quy định </w:t>
            </w:r>
            <w:bookmarkStart w:id="6" w:name="tc_6"/>
            <w:r w:rsidRPr="00E00BCF">
              <w:rPr>
                <w:rFonts w:ascii="Times New Roman" w:eastAsia="Times New Roman" w:hAnsi="Times New Roman" w:cs="Times New Roman"/>
                <w:sz w:val="24"/>
                <w:szCs w:val="24"/>
              </w:rPr>
              <w:t>Điều 4 Nghị định này</w:t>
            </w:r>
            <w:bookmarkEnd w:id="6"/>
            <w:r w:rsidRPr="00E00BCF">
              <w:rPr>
                <w:rFonts w:ascii="Times New Roman" w:eastAsia="Times New Roman" w:hAnsi="Times New Roman" w:cs="Times New Roman"/>
                <w:sz w:val="24"/>
                <w:szCs w:val="24"/>
              </w:rPr>
              <w:t>, có văn bản đề nghị xác nhận theo </w:t>
            </w:r>
            <w:bookmarkStart w:id="7" w:name="bieumau_ms_01"/>
            <w:r w:rsidRPr="00E00BCF">
              <w:rPr>
                <w:rFonts w:ascii="Times New Roman" w:eastAsia="Times New Roman" w:hAnsi="Times New Roman" w:cs="Times New Roman"/>
                <w:sz w:val="24"/>
                <w:szCs w:val="24"/>
              </w:rPr>
              <w:t>Mẫu số 01</w:t>
            </w:r>
            <w:bookmarkEnd w:id="7"/>
            <w:r w:rsidRPr="00E00BCF">
              <w:rPr>
                <w:rFonts w:ascii="Times New Roman" w:eastAsia="Times New Roman" w:hAnsi="Times New Roman" w:cs="Times New Roman"/>
                <w:sz w:val="24"/>
                <w:szCs w:val="24"/>
              </w:rPr>
              <w:t> tại Phụ lục ban hành kèm theo Nghị định này gửi cơ quan kiểm lâm cấp huyện hoặc cơ quan chuyên môn cấp huyện được giao (sau đây gọi là cơ quan chuyên môn cấp huyện);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Trong thời hạn 05 ngày làm việc, kể từ ngày nhận được văn bản đề nghị, cơ quan chuyên môn cấp huyện tổ chức kiểm tra hiện trường để xác định nguyên nhân, mức độ thiệt hại rừng trồng.</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Thành phần đoàn kiểm tra hiện trường gồm đại diện: cơ quan chuyên môn cấp huyện; Ủy ban nhân dân cấp xã nơi có rừng bị thiệt hại; chủ rừng hoặc chủ đầu tư dự án có rừng bị thiệt hại; cơ quan chuyên môn cấp huyện xác định nguyên nhân (cơ quan phòng chống thiên tai đối với các nguyên nhân quy định tại </w:t>
            </w:r>
            <w:bookmarkStart w:id="8" w:name="tc_7"/>
            <w:r w:rsidRPr="00E00BCF">
              <w:rPr>
                <w:rFonts w:ascii="Times New Roman" w:eastAsia="Times New Roman" w:hAnsi="Times New Roman" w:cs="Times New Roman"/>
                <w:sz w:val="24"/>
                <w:szCs w:val="24"/>
              </w:rPr>
              <w:t>khoản 1 Điều 4 Nghị định này</w:t>
            </w:r>
            <w:bookmarkEnd w:id="8"/>
            <w:r w:rsidRPr="00E00BCF">
              <w:rPr>
                <w:rFonts w:ascii="Times New Roman" w:eastAsia="Times New Roman" w:hAnsi="Times New Roman" w:cs="Times New Roman"/>
                <w:sz w:val="24"/>
                <w:szCs w:val="24"/>
              </w:rPr>
              <w:t> hoặc cơ quan thực hiện nhiệm vụ bảo vệ thực vật đối với các nguyên nhân quy định tại </w:t>
            </w:r>
            <w:bookmarkStart w:id="9" w:name="tc_8"/>
            <w:r w:rsidRPr="00E00BCF">
              <w:rPr>
                <w:rFonts w:ascii="Times New Roman" w:eastAsia="Times New Roman" w:hAnsi="Times New Roman" w:cs="Times New Roman"/>
                <w:sz w:val="24"/>
                <w:szCs w:val="24"/>
              </w:rPr>
              <w:t>khoản 2 Điều 4 Nghị định này</w:t>
            </w:r>
            <w:bookmarkEnd w:id="9"/>
            <w:r w:rsidRPr="00E00BCF">
              <w:rPr>
                <w:rFonts w:ascii="Times New Roman" w:eastAsia="Times New Roman" w:hAnsi="Times New Roman" w:cs="Times New Roman"/>
                <w:sz w:val="24"/>
                <w:szCs w:val="24"/>
              </w:rPr>
              <w:t>); các cơ quan, đơn vị có liên quan khác (nếu có).</w:t>
            </w:r>
          </w:p>
          <w:p w:rsidR="00E00BCF" w:rsidRPr="00E00BCF" w:rsidRDefault="00E00BCF" w:rsidP="0027089E">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5. Trường hợp thanh lý rừng trồng xảy ra trước ngày Nghị định này có hiệu lực</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Hồ sơ thanh lý rừng trồng đã lập, gồm: Tờ trình đề nghị thanh lý rừng trồng không thành rừng; bản sao hồ sơ thiết kế, dự toán trồng rừng; bản sao quyết định phê duyệt dự án; biên bản xác minh hiện trường có xác nhận của Ủy ban nhân dân cấp huyện nơi có rừng trồng không thành rừng; Phương án thanh lý rừng trồng.</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Trình tự, thủ tục thanh lý rừng trồng đối với trường hợp này thực hiện theo quy định tại khoản 2, khoản 3 và khoản 4 Điều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Điểm a</w:t>
            </w:r>
            <w:r w:rsidRPr="00E00BCF">
              <w:rPr>
                <w:rFonts w:ascii="Times New Roman" w:hAnsi="Times New Roman" w:cs="Times New Roman"/>
                <w:b/>
                <w:bCs/>
                <w:sz w:val="24"/>
                <w:szCs w:val="24"/>
              </w:rPr>
              <w:t xml:space="preserve"> khoản 3 Điều 13</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Ủy ban nhân dân cấp tỉnh có trách nhiệm:</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Chỉ đạo các cơ quan nông nghiệp và phát triển nông thôn, tài chính, tài nguyên và môi trường; Ủy ban nhân dân cấp huyện và các cơ quan có liên quan khác thực hiện việc thanh lý rừng trồng theo quy định tại Nghị định này;</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58/2024/NĐ-CP ngày 24 tháng 5 năm 2024 của Chính phủ về một số chính sách đầu tư trong lâm nghiệp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4 Điều 14</w:t>
            </w:r>
          </w:p>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10" w:name="khoan_4_14"/>
            <w:r w:rsidRPr="00E00BCF">
              <w:rPr>
                <w:rFonts w:ascii="Times New Roman" w:eastAsia="Times New Roman" w:hAnsi="Times New Roman" w:cs="Times New Roman"/>
                <w:sz w:val="24"/>
                <w:szCs w:val="24"/>
              </w:rPr>
              <w:t>4. Phương thức hỗ trợ: hỗ trợ đầu tư hoặc hỗ trợ sau đầu tư theo dự án được cấp có thẩm quyền phê duyệt.</w:t>
            </w:r>
            <w:bookmarkEnd w:id="10"/>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Ủy ban nhân dân cấp tỉnh giao cơ quan chuyên môn về lĩnh vực lâm nghiệp hoặc </w:t>
            </w:r>
            <w:r w:rsidRPr="00E00BCF">
              <w:rPr>
                <w:rFonts w:ascii="Times New Roman" w:eastAsia="Times New Roman" w:hAnsi="Times New Roman" w:cs="Times New Roman"/>
                <w:sz w:val="24"/>
                <w:szCs w:val="24"/>
              </w:rPr>
              <w:t>Ủy</w:t>
            </w:r>
            <w:r w:rsidRPr="00E00BCF">
              <w:rPr>
                <w:rFonts w:ascii="Times New Roman" w:eastAsia="Times New Roman" w:hAnsi="Times New Roman" w:cs="Times New Roman"/>
                <w:sz w:val="24"/>
                <w:szCs w:val="24"/>
                <w:lang w:val="vi-VN"/>
              </w:rPr>
              <w:t> ban nhân dân cấp huyện lập và làm chủ đầu tư dự án hỗ trợ đầu tư trồng rừng sản xuất và phát triển lâm s</w:t>
            </w:r>
            <w:r w:rsidRPr="00E00BCF">
              <w:rPr>
                <w:rFonts w:ascii="Times New Roman" w:eastAsia="Times New Roman" w:hAnsi="Times New Roman" w:cs="Times New Roman"/>
                <w:sz w:val="24"/>
                <w:szCs w:val="24"/>
              </w:rPr>
              <w:t>ả</w:t>
            </w:r>
            <w:r w:rsidRPr="00E00BCF">
              <w:rPr>
                <w:rFonts w:ascii="Times New Roman" w:eastAsia="Times New Roman" w:hAnsi="Times New Roman" w:cs="Times New Roman"/>
                <w:sz w:val="24"/>
                <w:szCs w:val="24"/>
                <w:lang w:val="vi-VN"/>
              </w:rPr>
              <w:t>n ngoài gỗ tr</w:t>
            </w:r>
            <w:r w:rsidRPr="00E00BCF">
              <w:rPr>
                <w:rFonts w:ascii="Times New Roman" w:eastAsia="Times New Roman" w:hAnsi="Times New Roman" w:cs="Times New Roman"/>
                <w:sz w:val="24"/>
                <w:szCs w:val="24"/>
              </w:rPr>
              <w:t>ê</w:t>
            </w:r>
            <w:r w:rsidRPr="00E00BCF">
              <w:rPr>
                <w:rFonts w:ascii="Times New Roman" w:eastAsia="Times New Roman" w:hAnsi="Times New Roman" w:cs="Times New Roman"/>
                <w:sz w:val="24"/>
                <w:szCs w:val="24"/>
                <w:lang w:val="vi-VN"/>
              </w:rPr>
              <w:t>n địa bàn, </w:t>
            </w:r>
            <w:r w:rsidRPr="00E00BCF">
              <w:rPr>
                <w:rFonts w:ascii="Times New Roman" w:eastAsia="Times New Roman" w:hAnsi="Times New Roman" w:cs="Times New Roman"/>
                <w:sz w:val="24"/>
                <w:szCs w:val="24"/>
              </w:rPr>
              <w:t>trình </w:t>
            </w:r>
            <w:r w:rsidRPr="00E00BCF">
              <w:rPr>
                <w:rFonts w:ascii="Times New Roman" w:eastAsia="Times New Roman" w:hAnsi="Times New Roman" w:cs="Times New Roman"/>
                <w:sz w:val="24"/>
                <w:szCs w:val="24"/>
                <w:lang w:val="vi-VN"/>
              </w:rPr>
              <w:t>Ủy ban nhân dân cấp tỉnh </w:t>
            </w:r>
            <w:r w:rsidRPr="00E00BCF">
              <w:rPr>
                <w:rFonts w:ascii="Times New Roman" w:eastAsia="Times New Roman" w:hAnsi="Times New Roman" w:cs="Times New Roman"/>
                <w:sz w:val="24"/>
                <w:szCs w:val="24"/>
              </w:rPr>
              <w:t>phê</w:t>
            </w:r>
            <w:r w:rsidRPr="00E00BCF">
              <w:rPr>
                <w:rFonts w:ascii="Times New Roman" w:eastAsia="Times New Roman" w:hAnsi="Times New Roman" w:cs="Times New Roman"/>
                <w:sz w:val="24"/>
                <w:szCs w:val="24"/>
                <w:lang w:val="vi-VN"/>
              </w:rPr>
              <w:t> duyệt.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đ khoản 2 Điều 15</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đ) </w:t>
            </w:r>
            <w:r w:rsidRPr="00E00BCF">
              <w:rPr>
                <w:rFonts w:ascii="Times New Roman" w:eastAsia="Times New Roman" w:hAnsi="Times New Roman" w:cs="Times New Roman"/>
                <w:sz w:val="24"/>
                <w:szCs w:val="24"/>
              </w:rPr>
              <w:t>Trình</w:t>
            </w:r>
            <w:r w:rsidRPr="00E00BCF">
              <w:rPr>
                <w:rFonts w:ascii="Times New Roman" w:eastAsia="Times New Roman" w:hAnsi="Times New Roman" w:cs="Times New Roman"/>
                <w:sz w:val="24"/>
                <w:szCs w:val="24"/>
                <w:lang w:val="vi-VN"/>
              </w:rPr>
              <w:t> tự, thủ tục hỗ trợ lãi suất: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Ch</w:t>
            </w:r>
            <w:r w:rsidRPr="00E00BCF">
              <w:rPr>
                <w:rFonts w:ascii="Times New Roman" w:eastAsia="Times New Roman" w:hAnsi="Times New Roman" w:cs="Times New Roman"/>
                <w:sz w:val="24"/>
                <w:szCs w:val="24"/>
              </w:rPr>
              <w:t>ủ </w:t>
            </w:r>
            <w:r w:rsidRPr="00E00BCF">
              <w:rPr>
                <w:rFonts w:ascii="Times New Roman" w:eastAsia="Times New Roman" w:hAnsi="Times New Roman" w:cs="Times New Roman"/>
                <w:sz w:val="24"/>
                <w:szCs w:val="24"/>
                <w:lang w:val="vi-VN"/>
              </w:rPr>
              <w:t>rừng gửi trực tiếp, qua dịch vụ bưu chính hoặc qua môi trường mạng 01 bộ hồ sơ đến Ủy ban nhân dân cấp huyện. Hồ sơ gồm: văn bản đề nghị hỗ trợ </w:t>
            </w:r>
            <w:r w:rsidRPr="00E00BCF">
              <w:rPr>
                <w:rFonts w:ascii="Times New Roman" w:eastAsia="Times New Roman" w:hAnsi="Times New Roman" w:cs="Times New Roman"/>
                <w:sz w:val="24"/>
                <w:szCs w:val="24"/>
              </w:rPr>
              <w:t>lãi</w:t>
            </w:r>
            <w:r w:rsidRPr="00E00BCF">
              <w:rPr>
                <w:rFonts w:ascii="Times New Roman" w:eastAsia="Times New Roman" w:hAnsi="Times New Roman" w:cs="Times New Roman"/>
                <w:sz w:val="24"/>
                <w:szCs w:val="24"/>
                <w:lang w:val="vi-VN"/>
              </w:rPr>
              <w:t> suất vay vốn ngân hàng theo </w:t>
            </w:r>
            <w:bookmarkStart w:id="11" w:name="bieumau_ms_03"/>
            <w:r w:rsidRPr="00E00BCF">
              <w:rPr>
                <w:rFonts w:ascii="Times New Roman" w:eastAsia="Times New Roman" w:hAnsi="Times New Roman" w:cs="Times New Roman"/>
                <w:sz w:val="24"/>
                <w:szCs w:val="24"/>
                <w:lang w:val="vi-VN"/>
              </w:rPr>
              <w:t>Mẫu số 03</w:t>
            </w:r>
            <w:bookmarkEnd w:id="11"/>
            <w:r w:rsidRPr="00E00BCF">
              <w:rPr>
                <w:rFonts w:ascii="Times New Roman" w:eastAsia="Times New Roman" w:hAnsi="Times New Roman" w:cs="Times New Roman"/>
                <w:sz w:val="24"/>
                <w:szCs w:val="24"/>
                <w:lang w:val="vi-VN"/>
              </w:rPr>
              <w:t> Phụ lục kèm theo Nghị định này; bản thiết kế trồng rừng, chăm sóc năm thứ nhất theo </w:t>
            </w:r>
            <w:bookmarkStart w:id="12" w:name="bieumau_ms_04"/>
            <w:r w:rsidRPr="00E00BCF">
              <w:rPr>
                <w:rFonts w:ascii="Times New Roman" w:eastAsia="Times New Roman" w:hAnsi="Times New Roman" w:cs="Times New Roman"/>
                <w:sz w:val="24"/>
                <w:szCs w:val="24"/>
                <w:lang w:val="vi-VN"/>
              </w:rPr>
              <w:t>Mẫu số 04</w:t>
            </w:r>
            <w:bookmarkEnd w:id="12"/>
            <w:r w:rsidRPr="00E00BCF">
              <w:rPr>
                <w:rFonts w:ascii="Times New Roman" w:eastAsia="Times New Roman" w:hAnsi="Times New Roman" w:cs="Times New Roman"/>
                <w:sz w:val="24"/>
                <w:szCs w:val="24"/>
                <w:lang w:val="vi-VN"/>
              </w:rPr>
              <w:t> Phụ lục kèm theo Nghị định này; bản sao hợp đồng tín dụng đã ký giữa chủ rừng và ngân hàng thương mại;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Trường hợp </w:t>
            </w:r>
            <w:r w:rsidRPr="00E00BCF">
              <w:rPr>
                <w:rFonts w:ascii="Times New Roman" w:eastAsia="Times New Roman" w:hAnsi="Times New Roman" w:cs="Times New Roman"/>
                <w:sz w:val="24"/>
                <w:szCs w:val="24"/>
              </w:rPr>
              <w:t>hồ</w:t>
            </w:r>
            <w:r w:rsidRPr="00E00BCF">
              <w:rPr>
                <w:rFonts w:ascii="Times New Roman" w:eastAsia="Times New Roman" w:hAnsi="Times New Roman" w:cs="Times New Roman"/>
                <w:sz w:val="24"/>
                <w:szCs w:val="24"/>
                <w:lang w:val="vi-VN"/>
              </w:rPr>
              <w:t> sơ không hợp lệ, Ủy ban nhân dân cấp huyện có trách nhiệm </w:t>
            </w:r>
            <w:r w:rsidRPr="00E00BCF">
              <w:rPr>
                <w:rFonts w:ascii="Times New Roman" w:eastAsia="Times New Roman" w:hAnsi="Times New Roman" w:cs="Times New Roman"/>
                <w:sz w:val="24"/>
                <w:szCs w:val="24"/>
              </w:rPr>
              <w:t>trả</w:t>
            </w:r>
            <w:r w:rsidRPr="00E00BCF">
              <w:rPr>
                <w:rFonts w:ascii="Times New Roman" w:eastAsia="Times New Roman" w:hAnsi="Times New Roman" w:cs="Times New Roman"/>
                <w:sz w:val="24"/>
                <w:szCs w:val="24"/>
                <w:lang w:val="vi-VN"/>
              </w:rPr>
              <w:t> lời b</w:t>
            </w:r>
            <w:r w:rsidRPr="00E00BCF">
              <w:rPr>
                <w:rFonts w:ascii="Times New Roman" w:eastAsia="Times New Roman" w:hAnsi="Times New Roman" w:cs="Times New Roman"/>
                <w:sz w:val="24"/>
                <w:szCs w:val="24"/>
              </w:rPr>
              <w:t>ằ</w:t>
            </w:r>
            <w:r w:rsidRPr="00E00BCF">
              <w:rPr>
                <w:rFonts w:ascii="Times New Roman" w:eastAsia="Times New Roman" w:hAnsi="Times New Roman" w:cs="Times New Roman"/>
                <w:sz w:val="24"/>
                <w:szCs w:val="24"/>
                <w:lang w:val="vi-VN"/>
              </w:rPr>
              <w:t>ng v</w:t>
            </w:r>
            <w:r w:rsidRPr="00E00BCF">
              <w:rPr>
                <w:rFonts w:ascii="Times New Roman" w:eastAsia="Times New Roman" w:hAnsi="Times New Roman" w:cs="Times New Roman"/>
                <w:sz w:val="24"/>
                <w:szCs w:val="24"/>
              </w:rPr>
              <w:t>ă</w:t>
            </w:r>
            <w:r w:rsidRPr="00E00BCF">
              <w:rPr>
                <w:rFonts w:ascii="Times New Roman" w:eastAsia="Times New Roman" w:hAnsi="Times New Roman" w:cs="Times New Roman"/>
                <w:sz w:val="24"/>
                <w:szCs w:val="24"/>
                <w:lang w:val="vi-VN"/>
              </w:rPr>
              <w:t>n bản cho </w:t>
            </w:r>
            <w:r w:rsidRPr="00E00BCF">
              <w:rPr>
                <w:rFonts w:ascii="Times New Roman" w:eastAsia="Times New Roman" w:hAnsi="Times New Roman" w:cs="Times New Roman"/>
                <w:sz w:val="24"/>
                <w:szCs w:val="24"/>
              </w:rPr>
              <w:t>chủ</w:t>
            </w:r>
            <w:r w:rsidRPr="00E00BCF">
              <w:rPr>
                <w:rFonts w:ascii="Times New Roman" w:eastAsia="Times New Roman" w:hAnsi="Times New Roman" w:cs="Times New Roman"/>
                <w:sz w:val="24"/>
                <w:szCs w:val="24"/>
                <w:lang w:val="vi-VN"/>
              </w:rPr>
              <w:t> rừng trong thời hạn 02 ngày làm việc kể từ ngày nhận được hồ sơ;</w:t>
            </w:r>
          </w:p>
          <w:p w:rsidR="00E00BCF" w:rsidRPr="00E00BCF" w:rsidRDefault="00E00BCF" w:rsidP="002B6863">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Trong thời hạn 20 ngày, kể từ khi nh</w:t>
            </w:r>
            <w:r w:rsidRPr="00E00BCF">
              <w:rPr>
                <w:rFonts w:ascii="Times New Roman" w:eastAsia="Times New Roman" w:hAnsi="Times New Roman" w:cs="Times New Roman"/>
                <w:sz w:val="24"/>
                <w:szCs w:val="24"/>
              </w:rPr>
              <w:t>ậ</w:t>
            </w:r>
            <w:r w:rsidRPr="00E00BCF">
              <w:rPr>
                <w:rFonts w:ascii="Times New Roman" w:eastAsia="Times New Roman" w:hAnsi="Times New Roman" w:cs="Times New Roman"/>
                <w:sz w:val="24"/>
                <w:szCs w:val="24"/>
                <w:lang w:val="vi-VN"/>
              </w:rPr>
              <w:t>n </w:t>
            </w:r>
            <w:r w:rsidRPr="00E00BCF">
              <w:rPr>
                <w:rFonts w:ascii="Times New Roman" w:eastAsia="Times New Roman" w:hAnsi="Times New Roman" w:cs="Times New Roman"/>
                <w:sz w:val="24"/>
                <w:szCs w:val="24"/>
              </w:rPr>
              <w:t>được</w:t>
            </w:r>
            <w:r w:rsidRPr="00E00BCF">
              <w:rPr>
                <w:rFonts w:ascii="Times New Roman" w:eastAsia="Times New Roman" w:hAnsi="Times New Roman" w:cs="Times New Roman"/>
                <w:sz w:val="24"/>
                <w:szCs w:val="24"/>
                <w:lang w:val="vi-VN"/>
              </w:rPr>
              <w:t> hồ sơ hợp lệ, Ủy ban nhân dân cấp huyện chủ </w:t>
            </w:r>
            <w:r w:rsidRPr="00E00BCF">
              <w:rPr>
                <w:rFonts w:ascii="Times New Roman" w:eastAsia="Times New Roman" w:hAnsi="Times New Roman" w:cs="Times New Roman"/>
                <w:sz w:val="24"/>
                <w:szCs w:val="24"/>
              </w:rPr>
              <w:t>trì</w:t>
            </w:r>
            <w:r w:rsidRPr="00E00BCF">
              <w:rPr>
                <w:rFonts w:ascii="Times New Roman" w:eastAsia="Times New Roman" w:hAnsi="Times New Roman" w:cs="Times New Roman"/>
                <w:sz w:val="24"/>
                <w:szCs w:val="24"/>
                <w:lang w:val="vi-VN"/>
              </w:rPr>
              <w:t>, phối hợp với các cơ quan có liên quan tổ chức xác minh hồ sơ đề nghị hỗ trợ lãi suất và lập biên bản xác minh điều kiện hỗ trợ lãi su</w:t>
            </w:r>
            <w:r w:rsidRPr="00E00BCF">
              <w:rPr>
                <w:rFonts w:ascii="Times New Roman" w:eastAsia="Times New Roman" w:hAnsi="Times New Roman" w:cs="Times New Roman"/>
                <w:sz w:val="24"/>
                <w:szCs w:val="24"/>
              </w:rPr>
              <w:t>ấ</w:t>
            </w:r>
            <w:r w:rsidRPr="00E00BCF">
              <w:rPr>
                <w:rFonts w:ascii="Times New Roman" w:eastAsia="Times New Roman" w:hAnsi="Times New Roman" w:cs="Times New Roman"/>
                <w:sz w:val="24"/>
                <w:szCs w:val="24"/>
                <w:lang w:val="vi-VN"/>
              </w:rPr>
              <w:t>t tín dụng theo </w:t>
            </w:r>
            <w:bookmarkStart w:id="13" w:name="bieumau_ms_05"/>
            <w:r w:rsidRPr="00E00BCF">
              <w:rPr>
                <w:rFonts w:ascii="Times New Roman" w:eastAsia="Times New Roman" w:hAnsi="Times New Roman" w:cs="Times New Roman"/>
                <w:sz w:val="24"/>
                <w:szCs w:val="24"/>
                <w:lang w:val="vi-VN"/>
              </w:rPr>
              <w:t>Mẫu số 05</w:t>
            </w:r>
            <w:bookmarkEnd w:id="13"/>
            <w:r w:rsidRPr="00E00BCF">
              <w:rPr>
                <w:rFonts w:ascii="Times New Roman" w:eastAsia="Times New Roman" w:hAnsi="Times New Roman" w:cs="Times New Roman"/>
                <w:sz w:val="24"/>
                <w:szCs w:val="24"/>
                <w:lang w:val="vi-VN"/>
              </w:rPr>
              <w:t> Phụ lục kèm theo Nghị định này, </w:t>
            </w:r>
            <w:r w:rsidRPr="00E00BCF">
              <w:rPr>
                <w:rFonts w:ascii="Times New Roman" w:eastAsia="Times New Roman" w:hAnsi="Times New Roman" w:cs="Times New Roman"/>
                <w:sz w:val="24"/>
                <w:szCs w:val="24"/>
              </w:rPr>
              <w:t>trình Ủy</w:t>
            </w:r>
            <w:r w:rsidRPr="00E00BCF">
              <w:rPr>
                <w:rFonts w:ascii="Times New Roman" w:eastAsia="Times New Roman" w:hAnsi="Times New Roman" w:cs="Times New Roman"/>
                <w:sz w:val="24"/>
                <w:szCs w:val="24"/>
                <w:lang w:val="vi-VN"/>
              </w:rPr>
              <w:t> ban nhân dân </w:t>
            </w:r>
            <w:r w:rsidRPr="00E00BCF">
              <w:rPr>
                <w:rFonts w:ascii="Times New Roman" w:eastAsia="Times New Roman" w:hAnsi="Times New Roman" w:cs="Times New Roman"/>
                <w:sz w:val="24"/>
                <w:szCs w:val="24"/>
              </w:rPr>
              <w:t>cấp tỉnh </w:t>
            </w:r>
            <w:r w:rsidRPr="00E00BCF">
              <w:rPr>
                <w:rFonts w:ascii="Times New Roman" w:eastAsia="Times New Roman" w:hAnsi="Times New Roman" w:cs="Times New Roman"/>
                <w:sz w:val="24"/>
                <w:szCs w:val="24"/>
                <w:lang w:val="vi-VN"/>
              </w:rPr>
              <w:t>quyết định. Trường hợp không hỗ trợ, Ủy ban nhân dân cấp </w:t>
            </w:r>
            <w:r w:rsidRPr="00E00BCF">
              <w:rPr>
                <w:rFonts w:ascii="Times New Roman" w:eastAsia="Times New Roman" w:hAnsi="Times New Roman" w:cs="Times New Roman"/>
                <w:sz w:val="24"/>
                <w:szCs w:val="24"/>
              </w:rPr>
              <w:t>tỉnh</w:t>
            </w:r>
            <w:r w:rsidRPr="00E00BCF">
              <w:rPr>
                <w:rFonts w:ascii="Times New Roman" w:eastAsia="Times New Roman" w:hAnsi="Times New Roman" w:cs="Times New Roman"/>
                <w:sz w:val="24"/>
                <w:szCs w:val="24"/>
                <w:lang w:val="vi-VN"/>
              </w:rPr>
              <w:t> có văn bản trả lời và nêu rõ lý do;</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4 Điều 16</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w:t>
            </w:r>
            <w:r w:rsidRPr="00E00BCF">
              <w:rPr>
                <w:rFonts w:ascii="Times New Roman" w:hAnsi="Times New Roman" w:cs="Times New Roman"/>
                <w:sz w:val="24"/>
                <w:szCs w:val="24"/>
                <w:shd w:val="clear" w:color="auto" w:fill="FFFFFF"/>
                <w:lang w:val="vi-VN"/>
              </w:rPr>
              <w:t>Hằng năm, Ủy ban nhân dân cấp tỉnh giao dự toán kinh phí hỗ trợ xây dựng phương án quản lý rừng bền vững và cấp chứng chỉ quản lý rừng bền vững theo dự án được duyệt quy định tại điểm a khoản này cho </w:t>
            </w:r>
            <w:r w:rsidRPr="00E00BCF">
              <w:rPr>
                <w:rFonts w:ascii="Times New Roman" w:hAnsi="Times New Roman" w:cs="Times New Roman"/>
                <w:sz w:val="24"/>
                <w:szCs w:val="24"/>
                <w:shd w:val="clear" w:color="auto" w:fill="FFFFFF"/>
              </w:rPr>
              <w:t>Sở</w:t>
            </w:r>
            <w:r w:rsidRPr="00E00BCF">
              <w:rPr>
                <w:rFonts w:ascii="Times New Roman" w:hAnsi="Times New Roman" w:cs="Times New Roman"/>
                <w:sz w:val="24"/>
                <w:szCs w:val="24"/>
                <w:shd w:val="clear" w:color="auto" w:fill="FFFFFF"/>
                <w:lang w:val="vi-VN"/>
              </w:rPr>
              <w:t> Nông nghiệp và Phát triển nông thôn để cấp kinh phí hỗ trợ cho chủ rừng là tổ chức và giao dự toán kinh phí hỗ trợ xây dựng phương án quản lý rừng bền </w:t>
            </w:r>
            <w:r w:rsidRPr="00E00BCF">
              <w:rPr>
                <w:rFonts w:ascii="Times New Roman" w:hAnsi="Times New Roman" w:cs="Times New Roman"/>
                <w:sz w:val="24"/>
                <w:szCs w:val="24"/>
                <w:shd w:val="clear" w:color="auto" w:fill="FFFFFF"/>
              </w:rPr>
              <w:t>vững</w:t>
            </w:r>
            <w:r w:rsidRPr="00E00BCF">
              <w:rPr>
                <w:rFonts w:ascii="Times New Roman" w:hAnsi="Times New Roman" w:cs="Times New Roman"/>
                <w:sz w:val="24"/>
                <w:szCs w:val="24"/>
                <w:shd w:val="clear" w:color="auto" w:fill="FFFFFF"/>
                <w:lang w:val="vi-VN"/>
              </w:rPr>
              <w:t> và cấp chứng chỉ quản lý rừng bền vững cho Ủy ban nhân dân cấp huyện để cấp kinh phí hỗ trợ cho chủ rừng là hộ gia đình, cá nhân, cộng đồng dân cư thông qua Ủy ban nhân dân c</w:t>
            </w:r>
            <w:r w:rsidRPr="00E00BCF">
              <w:rPr>
                <w:rFonts w:ascii="Times New Roman" w:hAnsi="Times New Roman" w:cs="Times New Roman"/>
                <w:sz w:val="24"/>
                <w:szCs w:val="24"/>
                <w:shd w:val="clear" w:color="auto" w:fill="FFFFFF"/>
              </w:rPr>
              <w:t>ấ</w:t>
            </w:r>
            <w:r w:rsidRPr="00E00BCF">
              <w:rPr>
                <w:rFonts w:ascii="Times New Roman" w:hAnsi="Times New Roman" w:cs="Times New Roman"/>
                <w:sz w:val="24"/>
                <w:szCs w:val="24"/>
                <w:shd w:val="clear" w:color="auto" w:fill="FFFFFF"/>
                <w:lang w:val="vi-VN"/>
              </w:rPr>
              <w:t>p xã;</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b khoản 3 Điều 20</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w:t>
            </w:r>
            <w:r w:rsidRPr="00E00BCF">
              <w:rPr>
                <w:rFonts w:ascii="Times New Roman" w:hAnsi="Times New Roman" w:cs="Times New Roman"/>
                <w:sz w:val="24"/>
                <w:szCs w:val="24"/>
                <w:shd w:val="clear" w:color="auto" w:fill="FFFFFF"/>
                <w:lang w:val="vi-VN"/>
              </w:rPr>
              <w:t>Căn cứ vào hoạt động chữa cháy rừng và các chế </w:t>
            </w:r>
            <w:r w:rsidRPr="00E00BCF">
              <w:rPr>
                <w:rFonts w:ascii="Times New Roman" w:hAnsi="Times New Roman" w:cs="Times New Roman"/>
                <w:sz w:val="24"/>
                <w:szCs w:val="24"/>
                <w:shd w:val="clear" w:color="auto" w:fill="FFFFFF"/>
              </w:rPr>
              <w:t>đ</w:t>
            </w:r>
            <w:r w:rsidRPr="00E00BCF">
              <w:rPr>
                <w:rFonts w:ascii="Times New Roman" w:hAnsi="Times New Roman" w:cs="Times New Roman"/>
                <w:sz w:val="24"/>
                <w:szCs w:val="24"/>
                <w:shd w:val="clear" w:color="auto" w:fill="FFFFFF"/>
                <w:lang w:val="vi-VN"/>
              </w:rPr>
              <w:t>ộ, </w:t>
            </w:r>
            <w:r w:rsidRPr="00E00BCF">
              <w:rPr>
                <w:rFonts w:ascii="Times New Roman" w:hAnsi="Times New Roman" w:cs="Times New Roman"/>
                <w:sz w:val="24"/>
                <w:szCs w:val="24"/>
                <w:shd w:val="clear" w:color="auto" w:fill="FFFFFF"/>
              </w:rPr>
              <w:t>chính</w:t>
            </w:r>
            <w:r w:rsidRPr="00E00BCF">
              <w:rPr>
                <w:rFonts w:ascii="Times New Roman" w:hAnsi="Times New Roman" w:cs="Times New Roman"/>
                <w:sz w:val="24"/>
                <w:szCs w:val="24"/>
                <w:shd w:val="clear" w:color="auto" w:fill="FFFFFF"/>
                <w:lang w:val="vi-VN"/>
              </w:rPr>
              <w:t> sách, </w:t>
            </w:r>
            <w:r w:rsidRPr="00E00BCF">
              <w:rPr>
                <w:rFonts w:ascii="Times New Roman" w:hAnsi="Times New Roman" w:cs="Times New Roman"/>
                <w:sz w:val="24"/>
                <w:szCs w:val="24"/>
                <w:shd w:val="clear" w:color="auto" w:fill="FFFFFF"/>
              </w:rPr>
              <w:t>Ủy</w:t>
            </w:r>
            <w:r w:rsidRPr="00E00BCF">
              <w:rPr>
                <w:rFonts w:ascii="Times New Roman" w:hAnsi="Times New Roman" w:cs="Times New Roman"/>
                <w:sz w:val="24"/>
                <w:szCs w:val="24"/>
                <w:shd w:val="clear" w:color="auto" w:fill="FFFFFF"/>
                <w:lang w:val="vi-VN"/>
              </w:rPr>
              <w:t> ban nhân dân cấp tỉnh, </w:t>
            </w:r>
            <w:r w:rsidRPr="00E00BCF">
              <w:rPr>
                <w:rFonts w:ascii="Times New Roman" w:hAnsi="Times New Roman" w:cs="Times New Roman"/>
                <w:sz w:val="24"/>
                <w:szCs w:val="24"/>
                <w:shd w:val="clear" w:color="auto" w:fill="FFFFFF"/>
              </w:rPr>
              <w:t>Ủy</w:t>
            </w:r>
            <w:r w:rsidRPr="00E00BCF">
              <w:rPr>
                <w:rFonts w:ascii="Times New Roman" w:hAnsi="Times New Roman" w:cs="Times New Roman"/>
                <w:sz w:val="24"/>
                <w:szCs w:val="24"/>
                <w:shd w:val="clear" w:color="auto" w:fill="FFFFFF"/>
                <w:lang w:val="vi-VN"/>
              </w:rPr>
              <w:t> ban nhân dân cấp huyện, Ủy ban nhân d</w:t>
            </w:r>
            <w:r w:rsidRPr="00E00BCF">
              <w:rPr>
                <w:rFonts w:ascii="Times New Roman" w:hAnsi="Times New Roman" w:cs="Times New Roman"/>
                <w:sz w:val="24"/>
                <w:szCs w:val="24"/>
                <w:shd w:val="clear" w:color="auto" w:fill="FFFFFF"/>
              </w:rPr>
              <w:t>â</w:t>
            </w:r>
            <w:r w:rsidRPr="00E00BCF">
              <w:rPr>
                <w:rFonts w:ascii="Times New Roman" w:hAnsi="Times New Roman" w:cs="Times New Roman"/>
                <w:sz w:val="24"/>
                <w:szCs w:val="24"/>
                <w:shd w:val="clear" w:color="auto" w:fill="FFFFFF"/>
                <w:lang w:val="vi-VN"/>
              </w:rPr>
              <w:t>n cấp xã quyết định cấp kinh phí từ nguồn ngân sách của địa phương và nguồn tài chính hợp pháp khác </w:t>
            </w:r>
            <w:r w:rsidRPr="00E00BCF">
              <w:rPr>
                <w:rFonts w:ascii="Times New Roman" w:hAnsi="Times New Roman" w:cs="Times New Roman"/>
                <w:sz w:val="24"/>
                <w:szCs w:val="24"/>
                <w:shd w:val="clear" w:color="auto" w:fill="FFFFFF"/>
              </w:rPr>
              <w:t>để</w:t>
            </w:r>
            <w:r w:rsidRPr="00E00BCF">
              <w:rPr>
                <w:rFonts w:ascii="Times New Roman" w:hAnsi="Times New Roman" w:cs="Times New Roman"/>
                <w:sz w:val="24"/>
                <w:szCs w:val="24"/>
                <w:shd w:val="clear" w:color="auto" w:fill="FFFFFF"/>
                <w:lang w:val="vi-VN"/>
              </w:rPr>
              <w:t> xử lý các nhu cầu kinh phí cho chữa cháy rừng trên địa bàn ngoài dự toán chi hằng năm đã được phê duyệt;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d khoản 1 Điều 31</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"d) Đối với công trình lâm sinh thuộc dự án do Chủ tịch Ủy ban nhân dân cấp xã quyết định đầu tư: cơ quan chuyên môn về lâm nghiệp cấp xã chủ trì thẩm định thiết kế, dự toán công trình lâm sinh.”.</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118/2014/NĐ-CP ngày 17 tháng 12 năm 2014 của Chính phủ về sắp xếp, đổi mới và phát triển, nâng cao hiệu quả hoạt động của công ty nông, lâm nghiệp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2 Điều 17</w:t>
            </w:r>
          </w:p>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sz w:val="24"/>
                <w:szCs w:val="24"/>
                <w:shd w:val="clear" w:color="auto" w:fill="FFFFFF"/>
              </w:rPr>
              <w:t>2. Trường hợp công ty nông, lâm nghiệp giải thể thì Ủy ban nhân dân huyện, quận, thị xã, thành phố thuộc tỉnh lập phương án bố trí lại diện tích đất ở thành khu dân cư trình Ủy ban nhân dân cấp tỉnh phê duyệt.</w:t>
            </w:r>
          </w:p>
        </w:tc>
      </w:tr>
      <w:tr w:rsidR="00E00BCF" w:rsidRPr="00E00BCF" w:rsidTr="00091924">
        <w:trPr>
          <w:trHeight w:val="698"/>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tabs>
                <w:tab w:val="left" w:pos="2629"/>
              </w:tabs>
              <w:jc w:val="both"/>
              <w:rPr>
                <w:rFonts w:ascii="Times New Roman" w:hAnsi="Times New Roman" w:cs="Times New Roman"/>
                <w:b/>
                <w:bCs/>
                <w:sz w:val="24"/>
                <w:szCs w:val="24"/>
              </w:rPr>
            </w:pPr>
            <w:r w:rsidRPr="00E00BCF">
              <w:rPr>
                <w:rFonts w:ascii="Times New Roman" w:hAnsi="Times New Roman" w:cs="Times New Roman"/>
                <w:b/>
                <w:bCs/>
                <w:sz w:val="24"/>
                <w:szCs w:val="24"/>
              </w:rPr>
              <w:t>LĨNH VỰC THỦY LỢI</w:t>
            </w:r>
          </w:p>
        </w:tc>
      </w:tr>
      <w:tr w:rsidR="00E00BCF" w:rsidRPr="00E00BCF" w:rsidTr="00091924">
        <w:trPr>
          <w:trHeight w:val="273"/>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Thuỷ lợi</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1 Điều 21</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Ủy ban nhân dân cấp tỉnh quản lý hoặc phân cấp cho Ủy ban nhân dân cấp huyện quản lý công trình thủy lợi trên địa bàn căn cứ vào điều kiện cụ thể của địa phương, trừ trường hợp quy định tại điểm a khoản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3 Điều 24</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Ủy ban nhân dân cấp tỉnh phê duyệt hoặc phân cấp cho Ủy ban nhân cấp huyện phê duyệt, công bố công khai quy trình vận hành công trình thủy lợi trên địa bàn, trừ công trình được quy định tại điểm a khoản này và khoản 4 Điều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3 Điều 41</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Ủy ban nhân dân cấp tỉnh phê duyệt hoặc phân cấp cho Ủy ban nhân dân cấp huyện phê duyệt phương án bảo vệ công trình thủy lợi trên địa bàn, trừ công trình thủy lợi quy định tại điểm a khoản này và khoản 4 Điều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48</w:t>
            </w:r>
          </w:p>
          <w:p w:rsidR="00E00BCF" w:rsidRPr="00E00BCF" w:rsidRDefault="00E00BCF" w:rsidP="00814E4D">
            <w:pPr>
              <w:jc w:val="both"/>
              <w:rPr>
                <w:rFonts w:ascii="Times New Roman" w:hAnsi="Times New Roman" w:cs="Times New Roman"/>
                <w:bCs/>
                <w:sz w:val="24"/>
                <w:szCs w:val="24"/>
              </w:rPr>
            </w:pPr>
            <w:r w:rsidRPr="00E00BCF">
              <w:rPr>
                <w:rStyle w:val="Strong"/>
                <w:rFonts w:ascii="Times New Roman" w:hAnsi="Times New Roman" w:cs="Times New Roman"/>
                <w:b w:val="0"/>
                <w:bCs w:val="0"/>
                <w:sz w:val="24"/>
                <w:szCs w:val="24"/>
                <w:shd w:val="clear" w:color="auto" w:fill="FFFFFF"/>
              </w:rPr>
              <w:t>3. Ủy ban nhân dân cấp tỉnh chỉ đạo Ủy ban nhân dân cấp huyện, Ủy ban nhân dân cấp xã và tổ chức, cá nhân khai thác công trình thủy lợi xây dựng kế hoạch và thực hiện dỡ bỏ hoặc di dời công trình quy định tại khoản 2 Điều này.</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K</w:t>
            </w:r>
            <w:r w:rsidRPr="00E00BCF">
              <w:rPr>
                <w:rFonts w:ascii="Times New Roman" w:hAnsi="Times New Roman" w:cs="Times New Roman"/>
                <w:b/>
                <w:bCs/>
                <w:sz w:val="24"/>
                <w:szCs w:val="24"/>
              </w:rPr>
              <w:t>hoản 2 Điều 57</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cấp huyện trong phạm vi nhiệm vụ, quyền hạn của mình có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Tổ chức thực hiện văn bản quy phạm pháp luật về thủy lợi;</w:t>
            </w:r>
          </w:p>
          <w:p w:rsidR="00E00BCF" w:rsidRPr="00E00BCF" w:rsidRDefault="00E00BCF" w:rsidP="00814E4D">
            <w:pPr>
              <w:shd w:val="clear" w:color="auto" w:fill="FFFFFF"/>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b) Tổ chức thực hiện kế hoạch phát triển thủy lợi theo quy hoạch được cấp có thẩm quyền phê duyệt;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Chỉ đạo hoạt động của tổ chức, cá nhân quản lý, khai thác và bảo vệ công trình thủy lợi;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Tổ chức thống kê, xây dựng và quản lý cơ sở dữ liệu về thủy lợi;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đ) Tổ chức phổ biến, giáo dục pháp luật về thủy lợi;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Chỉ đạo cơ quan chức năng phối hợp kiểm tra việc thực hiện nội dung giấy phép đối với hoạt động trong phạm vi bảo vệ công trình thủy lợi;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g) Báo cáo định kỳ và đột xuất về hoạt động thủy lợi trên địa bàn;</w:t>
            </w:r>
          </w:p>
          <w:p w:rsidR="00E00BCF" w:rsidRPr="00E00BCF" w:rsidRDefault="00E00BCF" w:rsidP="00136066">
            <w:pPr>
              <w:shd w:val="clear" w:color="auto" w:fill="FFFFFF"/>
              <w:jc w:val="both"/>
              <w:rPr>
                <w:rFonts w:ascii="Times New Roman" w:eastAsia="Times New Roman" w:hAnsi="Times New Roman" w:cs="Times New Roman"/>
                <w:sz w:val="24"/>
                <w:szCs w:val="24"/>
              </w:rPr>
            </w:pPr>
            <w:bookmarkStart w:id="14" w:name="diem_h_2_57"/>
            <w:r w:rsidRPr="00E00BCF">
              <w:rPr>
                <w:rFonts w:ascii="Times New Roman" w:eastAsia="Times New Roman" w:hAnsi="Times New Roman" w:cs="Times New Roman"/>
                <w:sz w:val="24"/>
                <w:szCs w:val="24"/>
              </w:rPr>
              <w:t>h) Thanh tra, kiểm tra, xử lý vi phạm pháp luật, giải quyết khiếu nại, tố cáo về thủy lợi.</w:t>
            </w:r>
            <w:bookmarkEnd w:id="14"/>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sz w:val="24"/>
                <w:szCs w:val="24"/>
              </w:rPr>
              <w:t>Nghị định số 67/2018/NĐ-CP ngày 14 tháng 5 năm 2018 của Chính phủ quy định chi tiết một số điều của Luật Thủy lợi</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
                <w:bCs/>
                <w:sz w:val="24"/>
                <w:szCs w:val="24"/>
              </w:rPr>
              <w:t>Điều 16. Thẩm quyền cấp, cấp lại, gia hạn, Điều chỉnh, đình chỉ, thu hồi giấy phép cho các hoạt động quy định tại Điều 13 Nghị định này</w:t>
            </w:r>
            <w:r w:rsidRPr="00E00BCF">
              <w:rPr>
                <w:rFonts w:ascii="Times New Roman" w:hAnsi="Times New Roman" w:cs="Times New Roman"/>
                <w:bCs/>
                <w:sz w:val="24"/>
                <w:szCs w:val="24"/>
              </w:rPr>
              <w:t xml:space="preserve"> [14]</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1. Bộ Nông nghiệp và Phát triển nông thôn cấp, cấp lại, gia hạn, điều chỉnh, đình chỉ, thu hồi giấy phép đối với các hoạt động quy định tại khoản 1, khoản 3, khoản 9, khoản 10 Điều 13 Nghị định này trong phạm vi bảo vệ công trình do Bộ quản lý.</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2. Ủy ban nhân dân cấp tỉnh cấp, cấp lại, gia hạn, điều chỉnh, đình chỉ, thu hồi giấy phép đối với các hoạt động quy định tại Điều 13 Nghị định này trong phạm vi bảo vệ công trình thủy lợi trên địa bàn, trừ trường hợp quy định tại khoản 1 Điều này.</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114/2018/NĐ-CP ngày 04 tháng 9 năm 2018 của Chính phủ về quản lý an toàn đập, hồ chứa nước</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3 Điều 10</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Đối với đập, hồ chứa thủy lợi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Ủy ban nhân dân cấp huyện tiếp nhận kê khai đăng ký an toàn đối với đập, hồ chứa thủy lợi nhỏ trên địa bàn, tổng hợp báo cáo Sở Nông nghiệp và Phát triển nông thôn.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Sở Nông nghiệp và Phát triển nông thôn tiếp nhận kê khai đăng ký an toàn đối với đập, hồ chứa thủy lợi quan trọng đặc biệt, lớn, vừa trên địa bàn thuộc phạm vi quản lý.</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Sở Nông nghiệp và Phát triển nông thôn tổng hợp, xây dựng cơ sở dữ liệu về thông số kỹ thuật, thông tin quản lý đập, hồ chứa thủy lợi trên địa bàn; báo cáo Ủy ban nhân dân cấp tỉnh, Bộ Nông nghiệp và Phát triển nông thôn.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lang w:val="vi-VN"/>
              </w:rPr>
              <w:t>Đ</w:t>
            </w:r>
            <w:r w:rsidRPr="00E00BCF">
              <w:rPr>
                <w:rFonts w:ascii="Times New Roman" w:hAnsi="Times New Roman" w:cs="Times New Roman"/>
                <w:b/>
                <w:bCs/>
                <w:sz w:val="24"/>
                <w:szCs w:val="24"/>
              </w:rPr>
              <w:t>iểm c khoản 4 Điều 12</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Đối với quy trình vận hành hồ chứa thủy lợi thuộc thẩm quyền phê duyệt của Ủy ban nhân dân cấp huyện, lấy ý kiến Ủy ban nhân dân cấp xã; tổ chức, cá nhân liên quan và chuyên gia.</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đ khoản 2, điểm b khoản 4, điểm c khoản 7 Điều 12</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2. Cơ quan tiếp nhận hồ sơ, thẩm định quy trình vận hành hồ chứa</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sz w:val="24"/>
                <w:szCs w:val="24"/>
                <w:shd w:val="clear" w:color="auto" w:fill="FFFFFF"/>
                <w:lang w:val="vi-VN"/>
              </w:rPr>
              <w:t>...</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đ) Cơ quan chuyên môn quản lý nhà nước về thủy lợi thuộc Ủy ban nhân dân cấp huyện tiếp nhận hồ sơ, tổ chức thẩm định quy trình vận hành hồ chứa thủy lợi thuộc thẩm quyền phê duyệt của Ủy ban nhân dân cấp huyện.</w:t>
            </w:r>
          </w:p>
          <w:p w:rsidR="00E00BCF" w:rsidRPr="00E00BCF" w:rsidRDefault="00E00BCF" w:rsidP="00814E4D">
            <w:pPr>
              <w:jc w:val="both"/>
              <w:rPr>
                <w:rFonts w:ascii="Times New Roman" w:hAnsi="Times New Roman" w:cs="Times New Roman"/>
                <w:sz w:val="24"/>
                <w:szCs w:val="24"/>
                <w:shd w:val="clear" w:color="auto" w:fill="FFFFFF"/>
                <w:lang w:val="vi-VN"/>
              </w:rPr>
            </w:pPr>
            <w:r w:rsidRPr="00E00BCF">
              <w:rPr>
                <w:rFonts w:ascii="Times New Roman" w:hAnsi="Times New Roman" w:cs="Times New Roman"/>
                <w:sz w:val="24"/>
                <w:szCs w:val="24"/>
                <w:shd w:val="clear" w:color="auto" w:fill="FFFFFF"/>
                <w:lang w:val="vi-VN"/>
              </w:rPr>
              <w:t>...</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4. Cơ quan thẩm định lấy ý kiến về dự thảo quy trình vận hành theo quy định sau:</w:t>
            </w:r>
          </w:p>
          <w:p w:rsidR="00E00BCF" w:rsidRPr="00E00BCF" w:rsidRDefault="00E00BCF" w:rsidP="00814E4D">
            <w:pPr>
              <w:jc w:val="both"/>
              <w:rPr>
                <w:rFonts w:ascii="Times New Roman" w:hAnsi="Times New Roman" w:cs="Times New Roman"/>
                <w:sz w:val="24"/>
                <w:szCs w:val="24"/>
                <w:shd w:val="clear" w:color="auto" w:fill="FFFFFF"/>
                <w:lang w:val="vi-VN"/>
              </w:rPr>
            </w:pPr>
            <w:r w:rsidRPr="00E00BCF">
              <w:rPr>
                <w:rFonts w:ascii="Times New Roman" w:hAnsi="Times New Roman" w:cs="Times New Roman"/>
                <w:sz w:val="24"/>
                <w:szCs w:val="24"/>
                <w:shd w:val="clear" w:color="auto" w:fill="FFFFFF"/>
                <w:lang w:val="vi-VN"/>
              </w:rPr>
              <w:t>...</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b) Đối với dự thảo quy trình vận hành hồ chứa nước trên địa bàn thuộc thẩm quyền phê duyệt của Ủy ban nhân dân cấp tỉnh, lấy ý kiến Ủy ban nhân dân cấp huyện; tổ chức, cá nhân liên quan và chuyên gia;</w:t>
            </w:r>
          </w:p>
          <w:p w:rsidR="00E00BCF" w:rsidRPr="00E00BCF" w:rsidRDefault="00E00BCF" w:rsidP="00814E4D">
            <w:pPr>
              <w:jc w:val="both"/>
              <w:rPr>
                <w:rFonts w:ascii="Times New Roman" w:hAnsi="Times New Roman" w:cs="Times New Roman"/>
                <w:sz w:val="24"/>
                <w:szCs w:val="24"/>
                <w:shd w:val="clear" w:color="auto" w:fill="FFFFFF"/>
                <w:lang w:val="vi-VN"/>
              </w:rPr>
            </w:pPr>
            <w:r w:rsidRPr="00E00BCF">
              <w:rPr>
                <w:rFonts w:ascii="Times New Roman" w:hAnsi="Times New Roman" w:cs="Times New Roman"/>
                <w:sz w:val="24"/>
                <w:szCs w:val="24"/>
                <w:shd w:val="clear" w:color="auto" w:fill="FFFFFF"/>
                <w:lang w:val="vi-VN"/>
              </w:rPr>
              <w:t>...</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lastRenderedPageBreak/>
              <w:t>7. Thẩm quyền phê duyệt, công bố công khai quy trình vận hành hồ chứa nước</w:t>
            </w:r>
          </w:p>
          <w:p w:rsidR="00E00BCF" w:rsidRPr="00E00BCF" w:rsidRDefault="00E00BCF" w:rsidP="00814E4D">
            <w:pPr>
              <w:jc w:val="both"/>
              <w:rPr>
                <w:rFonts w:ascii="Times New Roman" w:hAnsi="Times New Roman" w:cs="Times New Roman"/>
                <w:sz w:val="24"/>
                <w:szCs w:val="24"/>
                <w:shd w:val="clear" w:color="auto" w:fill="FFFFFF"/>
                <w:lang w:val="vi-VN"/>
              </w:rPr>
            </w:pPr>
            <w:r w:rsidRPr="00E00BCF">
              <w:rPr>
                <w:rFonts w:ascii="Times New Roman" w:hAnsi="Times New Roman" w:cs="Times New Roman"/>
                <w:sz w:val="24"/>
                <w:szCs w:val="24"/>
                <w:shd w:val="clear" w:color="auto" w:fill="FFFFFF"/>
                <w:lang w:val="vi-VN"/>
              </w:rPr>
              <w:t>...</w:t>
            </w:r>
          </w:p>
          <w:p w:rsidR="00E00BCF" w:rsidRPr="00E00BCF" w:rsidRDefault="00E00BCF" w:rsidP="00814E4D">
            <w:pPr>
              <w:jc w:val="both"/>
              <w:rPr>
                <w:rFonts w:ascii="Times New Roman" w:hAnsi="Times New Roman" w:cs="Times New Roman"/>
                <w:bCs/>
                <w:sz w:val="24"/>
                <w:szCs w:val="24"/>
                <w:lang w:val="vi-VN"/>
              </w:rPr>
            </w:pPr>
            <w:r w:rsidRPr="00E00BCF">
              <w:rPr>
                <w:rFonts w:ascii="Times New Roman" w:hAnsi="Times New Roman" w:cs="Times New Roman"/>
                <w:sz w:val="24"/>
                <w:szCs w:val="24"/>
                <w:shd w:val="clear" w:color="auto" w:fill="FFFFFF"/>
              </w:rPr>
              <w:t>c) Ủy ban nhân dân cấp tỉnh phê duyệt, công bố công khai hoặc phân cấp cho Ủy ban nhân dân cấp huyện phê duyệt, công bố công khai quy trình vận hành hồ chứa thủy lợi trên địa bàn, trừ hồ chứa được quy định tại điểm a khoản này và khoản 8 Điều này; phê duyệt, công bố công khai quy trình vận hành hồ chứa thủy điện, trừ hồ chứa được quy định tại điểm b khoản này và khoản 8 Điều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6 Điều 17</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Thành viên hội đồng bao gồm chủ tịch, phó chủ tịch, thư ký, ủy viên phản biện và các ủy viên là đại diện cơ quan chuyên môn quản lý nhà nước về thủy lợi, thủy điện cấp tỉnh, đại diện Ủy ban nhân dân cấp huyện có đập, hồ chứa nước có liên quan trên địa bàn và tư vấn hỗ trợ kỹ thuật cho hội đồng.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5 Điều 23</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Ủy ban nhân dân cấp tỉnh phê duyệt hoặc phân cấp cho Ủy ban nhân dân cấp huyện phê duyệt phương án bảo vệ đập, hồ chứa nước trên địa bàn, trừ đập, hồ chứa nước quy định tại điểm a, điểm b khoản này và khoản 6 Điều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d khoản 4 Điều 24</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d) Đối với đập có phạm vi bảo vệ thuộc địa bàn một huyện, Ủy ban nhân dân cấp tỉnh xem xét quyết định phân cấp cho Ủy ban nhân dân cấp huyện nơi xây dựng đập phê duyệt.</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điểm a khoản 5 Điều 24</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Xây dựng phương án cắm mốc chỉ giới</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Chủ sở hữu đập, hồ chứa thủy điện có trách nhiệm chủ trì, phối hợp với Sở Tài nguyên và Môi trường, Ủy ban nhân dân cấp huyện, Ủy ban nhân dân cấp xã nơi xây dựng đập để xây dựng phương án cắm mốc chỉ giới xác định phạm vi bảo vệ đập.</w:t>
            </w:r>
          </w:p>
          <w:p w:rsidR="00E00BCF" w:rsidRPr="00E00BCF" w:rsidRDefault="00E00BCF" w:rsidP="0027089E">
            <w:pPr>
              <w:jc w:val="both"/>
              <w:rPr>
                <w:rFonts w:ascii="Times New Roman" w:hAnsi="Times New Roman" w:cs="Times New Roman"/>
                <w:bCs/>
                <w:sz w:val="24"/>
                <w:szCs w:val="24"/>
                <w:lang w:val="vi-VN"/>
              </w:rPr>
            </w:pPr>
            <w:r w:rsidRPr="00E00BCF">
              <w:rPr>
                <w:rFonts w:ascii="Times New Roman" w:hAnsi="Times New Roman" w:cs="Times New Roman"/>
                <w:bCs/>
                <w:sz w:val="24"/>
                <w:szCs w:val="24"/>
                <w:lang w:val="vi-VN"/>
              </w:rPr>
              <w:t>...</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5. Tổ chức cắm mốc chỉ giới và quản lý mốc chỉ giới</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Ngay sau khi phương án cắm mốc chỉ giới được phê duyệt, chủ sở hữu đập, hồ chứa thủy điện có trách nhiệm chủ trì và phối hợp với Ủy ban nhân dân cấp huyện, Ủy ban nhân dân cấp xã nơi xây dựng đập để tổ chức cắm mốc chỉ giới theo phương án được duyệt;</w:t>
            </w:r>
          </w:p>
        </w:tc>
      </w:tr>
      <w:tr w:rsidR="00E00BCF" w:rsidRPr="00E00BCF" w:rsidTr="00091924">
        <w:trPr>
          <w:trHeight w:val="706"/>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QUẢN LÝ ĐÊ ĐIỀU VÀ PHÒNG, CHỐNG THIÊN TAI</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Đê điều, đã được sửa đổi bổ sung một số điều tại Luật sửa đổi, bổ sung một số điều của Luật Phòng, chống thiên tai, Luật Đê điều</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2 Điều 35</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Chủ tịch Ủy ban nhân dân cấp huyện, Trưởng ban Ban chỉ huy phòng, chống thiên tai và tìm kiếm cứu nạn cấp huyện có quyền huy động kịp thời lực lượng, vật tư, phương tiện của địa phương, của tổ chức, cá nhân trên địa bàn để cứu hộ, bảo đảm an toàn đê điều; trong trường hợp vượt quá khả năng thì báo cáo để Chủ tịch Ủy ban nhân dân cấp tỉnh quyết định huy động;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đ khoản 2 Điều 35</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đ)</w:t>
            </w:r>
            <w:hyperlink r:id="rId8" w:anchor="_ftn36" w:history="1">
              <w:r w:rsidRPr="00E00BCF">
                <w:rPr>
                  <w:rStyle w:val="Hyperlink"/>
                  <w:rFonts w:ascii="Times New Roman" w:hAnsi="Times New Roman" w:cs="Times New Roman"/>
                  <w:color w:val="auto"/>
                  <w:sz w:val="24"/>
                  <w:szCs w:val="24"/>
                  <w:shd w:val="clear" w:color="auto" w:fill="FFFFFF"/>
                </w:rPr>
                <w:t>[36]</w:t>
              </w:r>
            </w:hyperlink>
            <w:r w:rsidRPr="00E00BCF">
              <w:rPr>
                <w:rFonts w:ascii="Times New Roman" w:hAnsi="Times New Roman" w:cs="Times New Roman"/>
                <w:sz w:val="24"/>
                <w:szCs w:val="24"/>
                <w:shd w:val="clear" w:color="auto" w:fill="FFFFFF"/>
              </w:rPr>
              <w:t> Trường hợp khẩn cấp chống lũ, lụt, bão, thiên tai khác mà cần phải sử dụng đất thì Chủ tịch Ủy ban nhân dân cấp tỉnh, cấp huyện có quyền quyết định sử dụng đất có thời hạn. Chính phủ quy định chi tiết việc trả lại đất và bồi thường thiệt hại cho người có đất bị Nhà nước quyết định sử dụng đất có thời hạn.</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2 Điều 35</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Chủ tịch Ủy ban nhân dân cấp xã có quyền huy động kịp thời lực lượng, vật tư, phương tiện của địa phương, của tổ chức, cá nhân trên địa bàn để xử lý ngay giờ đầu sự cố đê điều; trong trường hợp vượt quá khả năng thì báo cáo để Chủ tịch Ủy ban nhân dân cấp huyện quyết định huy động;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1 Điều 43</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Chỉ đạo Ủy ban nhân dân cấp huyện phối hợp với các cơ quan hữu quan trong việc xây dựng và thực hiện quy hoạch, kế hoạch đầu tư xây dựng, tu bổ, nâng cấp, kiên cố hóa, bảo vệ, sử dụng đê điều và hộ đê;</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43</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2. Ủy ban nhân dân cấp huyện có các nhiệm vụ, quyền hạn sau đây:</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a) Tổ chức thực hiện việc quản lý, bảo vệ, tu bổ, nâng cấp, kiên cố hóa đê điều và hộ đê trên địa bàn;</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b)[45] Chỉ đạo Ủy ban nhân dân cấp xã phối hợp với các cơ quan hữu quan trong việc thực hiện phương án phát triển hệ thống đê điều, phương án phòng, chống lũ của tuyến sông có đê trên địa bàn huyện trong quy hoạch tỉnh, kế hoạch đầu tư xây dựng, tu bổ, nâng cấp, kiên cố hóa, bảo vệ, sử dụng đê điều và hộ đê;</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c) Tổng hợp, quản lý thông tin, dữ liệu về đê điều trong phạm vi địa phương;</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d) Quyết định theo thẩm quyền hoặc trình cấp có thẩm quyền quyết định việc huy động lực lượng, vật tư, phương tiện để hộ đê, khắc phục hậu quả do lũ, lụt, bão gây ra đối với đê điều;</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đ) Chỉ đạo công tác tuyên truyền, phổ biến, giáo dục pháp luật về đê điều trong phạm vi địa phương;</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bCs/>
                <w:sz w:val="24"/>
                <w:szCs w:val="24"/>
              </w:rPr>
              <w:t>e) Tổ chức kiểm tra, thanh tra việc thực hiện pháp luật về đê điều và xử lý các hành vi vi phạm pháp luật về đê điều; giải quyết theo thẩm quyền khiếu nại, tố cáo về hành vi vi phạm pháp luật về đê điều trong phạm vi địa phương theo quy định của pháp luật về khiếu nại, tố cáo.</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Phòng, chống thiên tai đã được sửa đổi bổ sung tại Luật sửa đổi, bổ sung một số điều của Luật Phòng, chống thiên tai, Luật Đê điều</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 Điều 28</w:t>
            </w:r>
          </w:p>
          <w:p w:rsidR="00E00BCF" w:rsidRPr="00E00BCF" w:rsidRDefault="00E00BCF" w:rsidP="00675FB9">
            <w:pPr>
              <w:shd w:val="clear" w:color="auto" w:fill="FFFFFF"/>
              <w:jc w:val="both"/>
              <w:outlineLvl w:val="1"/>
              <w:rPr>
                <w:rFonts w:ascii="Times New Roman" w:eastAsia="Times New Roman" w:hAnsi="Times New Roman" w:cs="Times New Roman"/>
                <w:b/>
                <w:bCs/>
                <w:sz w:val="24"/>
                <w:szCs w:val="24"/>
              </w:rPr>
            </w:pPr>
            <w:r w:rsidRPr="00E00BCF">
              <w:rPr>
                <w:rFonts w:ascii="Times New Roman" w:eastAsia="Times New Roman" w:hAnsi="Times New Roman" w:cs="Times New Roman"/>
                <w:sz w:val="24"/>
                <w:szCs w:val="24"/>
              </w:rPr>
              <w:t>1. Chủ tịch Ủy ban nhân dân cấp huyện và cấp xã trong phạm vi thẩm quyền có trách nhiệm huy động lực lượng, vật tư, phương tiện, trang thiết bị, nhu yếu phẩm đã được chuẩn bị theo phương châm bốn tại chỗ để ứng phó thiên tai và cứu trợ khẩn cấp tại địa phương. Trường hợp vượt quá khả năng, thẩm quyền phải báo cáo kịp thời với Ủy ban nhân dân cấp trên.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2 Điều 33</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Ủy ban Trung ương Mặt trận Tổ quốc Việt Nam, Ủy ban Mặt trận Tổ quốc Việt Nam cấp tỉnh, Hội Chữ thập đỏ Việt Nam, Ủy ban nhân dân cấp tỉnh, Ủy ban nhân dân cấp huyện vận động quyên góp, tiếp nhận và phân bổ nguồn lực để cứu trợ khẩn cấp, hỗ trợ trung hạn.</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Các bộ, cơ quan ngang bộ, cơ quan thuộc Chính phủ vận động quyên góp, tiếp nhận nguồn lực để cứu trợ khẩn cấp, hỗ trợ trung hạn và chuyển giao cho Ủy ban Trung ương Mặt trận Tổ quốc Việt Nam, Hội Chữ thập đỏ Việt Nam, Ủy ban nhân dân cấp tỉnh để phân bổ.</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Ủy ban Mặt trận Tổ quốc Việt Nam và Hội Chữ thập đỏ Việt Nam ở địa phương phối hợp với Ủy ban nhân dân cùng cấp tiếp nhận, phân bổ nguồn lực để cứu trợ khẩn cấp, hỗ trợ trung hạn;</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 Điều 43</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1. Ủy ban nhân dân cấp tỉnh và cấp huyện có trách nhiệm sau đây:</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lastRenderedPageBreak/>
              <w:t>a) Tổ chức phổ biến, tuyên truyền và triển khai thực hiện pháp luật về phòng, chống thiên tai;</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Xây dựng, phê duyệt và tổ chức thực hiện kế hoạch phòng, chống thiên tai thuộc phạm vi quản lý;</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c) Tổ chức thực hiện việc lồng ghép nội dung phòng, chống thiên tai vào quy hoạch, kế hoạch phát triển kinh tế - xã hội của địa phương;</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d) Quản lý thực hiện quy hoạch theo pháp luật về quy hoạch đô thị và nông thôn đối với[72] khu đô thị, điểm dân cư nông thôn, công trình hạ tầng kỹ thuật và quy hoạch sản xuất thích ứng với đặc điểm thiên tai trên địa bàn, bảo đảm phát triển bền vững;</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đ) Xây dựng và phê duyệt phương án ứng phó thiên tai trên địa bàn; tổ chức việc chuẩn bị nhân lực, vật tư, phương tiện, trang thiết bị, nhu yếu phẩm và tổ chức diễn tập theo phương án được duyệt;</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e) Kiểm tra, đôn đốc việc dự trữ lương thực, nhu yếu phẩm, hóa chất xử lý nước, thuốc chữa bệnh, phòng dịch, phương tiện, vật tư và trang thiết bị theo phương châm bốn tại chỗ để chủ động ứng phó khi thiên tai xảy ra;</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g) Xây dựng, tu bổ, nâng cấp và quản lý, bảo vệ công trình phòng, chống thiên tai trên địa bàn thuộc trách nhiệm quản lý;</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h) Tổ chức thường trực, chỉ huy công tác ứng phó thiên tai; tổng hợp, thống kê, đánh giá thiệt hại do thiên tai gây ra;</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i) Chỉ đạo, tổ chức thực hiện biện pháp bảo vệ sản xuất khi xảy ra thiên tai để giảm nhẹ thiệt hại, nhanh chóng phục hồi sản xuất;</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k) Tổ chức quản lý, phân phối tiền, hàng cứu trợ khẩn cấp của Nhà nước, tổ chức và cộng đồng để ổn định đời sống, phục hồi sản xuất và khắc phục hậu quả thiên tai theo quy định của pháp luật;</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l) Thanh tra, kiểm tra, giải quyết khiếu nại, tố cáo, xử lý vi phạm pháp luật về phòng, chống thiên tai theo thẩm quyền.</w:t>
            </w:r>
          </w:p>
        </w:tc>
      </w:tr>
      <w:tr w:rsidR="00E00BCF" w:rsidRPr="00E00BCF" w:rsidTr="00091924">
        <w:trPr>
          <w:trHeight w:val="698"/>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66/2021/NĐ-CP ngày 06 tháng 7 năm 2021 của Chính phủ quy định chi tiết thi hành một số điều của Luật Phòng, chống thiên tai và Luật sửa đổi, bổ sung một số điều của Luật Phòng, chống thiên tai và Luật Đê điều</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15" w:name="dieu_7"/>
            <w:r w:rsidRPr="00E00BCF">
              <w:rPr>
                <w:rFonts w:ascii="Times New Roman" w:eastAsia="Times New Roman" w:hAnsi="Times New Roman" w:cs="Times New Roman"/>
                <w:b/>
                <w:bCs/>
                <w:sz w:val="24"/>
                <w:szCs w:val="24"/>
                <w:lang w:val="vi-VN"/>
              </w:rPr>
              <w:t>Điều 7. Phân công, phân cấp trách nhiệm và phối hợp trong ứng phó rủi ro thiên tai cấp độ 1</w:t>
            </w:r>
            <w:bookmarkEnd w:id="15"/>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1. Chủ tịch Ủy ban nhân dân cấp xã có trách nhiệm trực tiếp chỉ huy, huy động nguồn lực tại chỗ để ứng phó kịp thời ngay khi thiên tai xảy ra; hỗ trợ công tác ứng phó khi có đề nghị của các địa phương lân cận; báo cáo và chịu trách nhiệm thực hiện chỉ đạo, chỉ huy của các cơ quan phòng chống thiên tai cấp trên; đồng thời được quyền huy động các nguồn lực sau để ứng phó thiên tai: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a) Lực lượng xung kích phòng chống thiên tai cấp xã, dân quân tự vệ, thanh niên, các tổ chức, cá nhân trên địa bàn và các tổ chức, cá nhân tình nguyện;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b) Vật tư dự trữ do nhân dân chuẩn bị, vật tư, trang thiết bị, phương tiện của cấp xã và tổ chức, cá nhân hoạt động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2. Các lực lượng tham gia ứng phó thiên tai trên địa bàn có trách nhiệm phối hợp chặt chẽ theo sự chỉ huy của Chủ tịch Ủy ban nhân dàn cấp xã hoặc người được ủy quyền.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3. Trong trường hợp vượt quá khả năng ứng phó của cấp xã, Chủ tịch Ủy ban nhân dân cấp xã đề nghị Ủy ban nhân dân cấp huyện hỗ trợ.</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4. Chủ tịch Ủy ban nhân dân cấp huyện có trách nhiệm trực tiếp chỉ huy và huy động nguồn lực theo thẩm quyền để ứng phó thiên tai trong trường hợp thiên tai cấp độ 1 xảy ra trong phạm vi từ hai xã trở lên hoặc khi nhận được yêu cầu trợ giúp của Chủ tịch Ủy ban nhân dân cấp xã; chịu trách nhiệm thực hiện chỉ huy, chỉ đạo của các cơ quan chỉ đạo phòng chống thiên tai cấp trên.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5. Chủ tịch Ủy ban nhân dân cấp huyện được quyền huy động các nguồn lực sau để ứng phó thiên tai: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a) Lực lượng quân đội, công an, dân quân tự vệ, thanh niên, các tổ chức, cá nhân trên địa bàn và các tổ chức, cá nhân tình nguyện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b) Vật tư, trang thiết bị, phương tiện của cấp huyện và các tổ chức, cá nhân hoạt động trên địa bàn.</w:t>
            </w:r>
          </w:p>
          <w:p w:rsidR="00E00BCF" w:rsidRPr="00E00BCF" w:rsidRDefault="00E00BCF" w:rsidP="00EC4084">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lastRenderedPageBreak/>
              <w:t>6. Các lực lượng tham gia ứng phó thiên tai trên địa bàn huyện có trách nhiệm phối hợp chặt chẽ theo sự chỉ huy của Chủ tịch Ủy ban nhân dân cấp huyện hoặc người được ủy quyền.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Chủ tịch Ủy ban nhân dân cấp huyện, cấp xã tổ chức thực hiện nhiệm vụ quy định tại </w:t>
            </w:r>
            <w:bookmarkStart w:id="16" w:name="tc_1"/>
            <w:r w:rsidRPr="00E00BCF">
              <w:rPr>
                <w:rFonts w:ascii="Times New Roman" w:hAnsi="Times New Roman" w:cs="Times New Roman"/>
                <w:sz w:val="24"/>
                <w:szCs w:val="24"/>
                <w:shd w:val="clear" w:color="auto" w:fill="FFFFFF"/>
              </w:rPr>
              <w:t>Điều 7</w:t>
            </w:r>
            <w:bookmarkEnd w:id="16"/>
            <w:r w:rsidRPr="00E00BCF">
              <w:rPr>
                <w:rFonts w:ascii="Times New Roman" w:hAnsi="Times New Roman" w:cs="Times New Roman"/>
                <w:sz w:val="24"/>
                <w:szCs w:val="24"/>
                <w:shd w:val="clear" w:color="auto" w:fill="FFFFFF"/>
              </w:rPr>
              <w:t>; tuân thủ sự chỉ huy của cơ quan cấp trên; hướng dẫn và tổ chức sơ tán người đến nơi an toàn; Chủ tịch Ủy ban nhân dân cấp huyện quyết định tổ chức cưỡng chế sơ tán trường hợp tổ chức, cá nhân không tự giác chấp hành chỉ đạo, chỉ huy, hướng dẫn sơ tán phòng, tránh thiên tai vì mục đích an toàn cho người.</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5 Điều 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5. Chủ tịch Ủy ban nhân dân cấp huyện, cấp xã thực hiện nhiệm vụ theo quy định tại khoản 3 Điều 8 Nghị định này phù hợp với tình huống cụ thể tại địa phương; tuân thủ sự chỉ đạo, chỉ huy của cơ quan cấp trên.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6 Điều 10</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6. Chủ tịch Ủy ban nhân dân cấp huyện và cấp xã thực hiện nhiệm vụ theo quy định tại </w:t>
            </w:r>
            <w:bookmarkStart w:id="17" w:name="tc_3"/>
            <w:r w:rsidRPr="00E00BCF">
              <w:rPr>
                <w:rFonts w:ascii="Times New Roman" w:hAnsi="Times New Roman" w:cs="Times New Roman"/>
                <w:sz w:val="24"/>
                <w:szCs w:val="24"/>
                <w:shd w:val="clear" w:color="auto" w:fill="FFFFFF"/>
              </w:rPr>
              <w:t>khoản 3 Điều 8 Nghị định này</w:t>
            </w:r>
            <w:bookmarkEnd w:id="17"/>
            <w:r w:rsidRPr="00E00BCF">
              <w:rPr>
                <w:rFonts w:ascii="Times New Roman" w:hAnsi="Times New Roman" w:cs="Times New Roman"/>
                <w:sz w:val="24"/>
                <w:szCs w:val="24"/>
                <w:shd w:val="clear" w:color="auto" w:fill="FFFFFF"/>
              </w:rPr>
              <w:t> phù hợp với tình huống cụ thể tại địa phương; tuân thủ sự chỉ đạo, chỉ huy của cơ quan cấp trên.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19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2. Ban chỉ huy phòng, chống thiên tai và tìm kiếm cứu nạn cấp xã huy động lực lượng xung kích phòng chống thiên tai và các lực lượng tại chỗ rà soát, xác định số hộ cần di dời khẩn cấp, báo cáo Chủ tịch Ủy ban nhân dân cùng cấp. Ủy ban nhân dân cấp xã chủ động xử lý theo thẩm quyền hoặc xác minh, báo cáo kịp thời Ban chỉ huy phòng, chống thiên tai và tìm kiếm cứu nạn cấp huyện về số hộ cần di dời khẩn cấp và nhu cầu hỗ trợ di dời.</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19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Ban chỉ huy phòng, chống thiên tai và tìm kiếm cứu nạn cấp huyện tổng hợp về số hộ cần di dời khẩn cấp và nhu cầu hỗ trợ di dời, báo cáo Chủ tịch Ủy ban nhân dân cấp huyện. Căn cứ quy định </w:t>
            </w:r>
            <w:bookmarkStart w:id="18" w:name="tvpllink_hgwsdbdiqw"/>
            <w:r w:rsidRPr="00E00BCF">
              <w:rPr>
                <w:rFonts w:ascii="Times New Roman" w:hAnsi="Times New Roman" w:cs="Times New Roman"/>
                <w:sz w:val="24"/>
                <w:szCs w:val="24"/>
              </w:rPr>
              <w:fldChar w:fldCharType="begin"/>
            </w:r>
            <w:r w:rsidRPr="00E00BCF">
              <w:rPr>
                <w:rFonts w:ascii="Times New Roman" w:hAnsi="Times New Roman" w:cs="Times New Roman"/>
                <w:sz w:val="24"/>
                <w:szCs w:val="24"/>
              </w:rPr>
              <w:instrText xml:space="preserve"> HYPERLINK "https://thuvienphapluat.vn/van-ban/Bat-dong-san/Luat-dat-dai-2013-215836.aspx" \t "_blank" </w:instrText>
            </w:r>
            <w:r w:rsidRPr="00E00BCF">
              <w:rPr>
                <w:rFonts w:ascii="Times New Roman" w:hAnsi="Times New Roman" w:cs="Times New Roman"/>
                <w:sz w:val="24"/>
                <w:szCs w:val="24"/>
              </w:rPr>
              <w:fldChar w:fldCharType="separate"/>
            </w:r>
            <w:r w:rsidRPr="00E00BCF">
              <w:rPr>
                <w:rStyle w:val="Hyperlink"/>
                <w:rFonts w:ascii="Times New Roman" w:hAnsi="Times New Roman" w:cs="Times New Roman"/>
                <w:color w:val="auto"/>
                <w:sz w:val="24"/>
                <w:szCs w:val="24"/>
                <w:shd w:val="clear" w:color="auto" w:fill="FFFFFF"/>
              </w:rPr>
              <w:t>Luật Đất đai</w:t>
            </w:r>
            <w:r w:rsidRPr="00E00BCF">
              <w:rPr>
                <w:rFonts w:ascii="Times New Roman" w:hAnsi="Times New Roman" w:cs="Times New Roman"/>
                <w:sz w:val="24"/>
                <w:szCs w:val="24"/>
              </w:rPr>
              <w:fldChar w:fldCharType="end"/>
            </w:r>
            <w:bookmarkEnd w:id="18"/>
            <w:r w:rsidRPr="00E00BCF">
              <w:rPr>
                <w:rFonts w:ascii="Times New Roman" w:hAnsi="Times New Roman" w:cs="Times New Roman"/>
                <w:sz w:val="24"/>
                <w:szCs w:val="24"/>
                <w:shd w:val="clear" w:color="auto" w:fill="FFFFFF"/>
              </w:rPr>
              <w:t>, </w:t>
            </w:r>
            <w:bookmarkStart w:id="19" w:name="tvpllink_iaeoqxhvej"/>
            <w:r w:rsidRPr="00E00BCF">
              <w:rPr>
                <w:rFonts w:ascii="Times New Roman" w:hAnsi="Times New Roman" w:cs="Times New Roman"/>
                <w:sz w:val="24"/>
                <w:szCs w:val="24"/>
              </w:rPr>
              <w:fldChar w:fldCharType="begin"/>
            </w:r>
            <w:r w:rsidRPr="00E00BCF">
              <w:rPr>
                <w:rFonts w:ascii="Times New Roman" w:hAnsi="Times New Roman" w:cs="Times New Roman"/>
                <w:sz w:val="24"/>
                <w:szCs w:val="24"/>
              </w:rPr>
              <w:instrText xml:space="preserve"> HYPERLINK "https://thuvienphapluat.vn/van-ban/Tai-chinh-nha-nuoc/Luat-trung-mua-trung-dung-tai-san-2008-15-2008-QH12-66950.aspx" \t "_blank" </w:instrText>
            </w:r>
            <w:r w:rsidRPr="00E00BCF">
              <w:rPr>
                <w:rFonts w:ascii="Times New Roman" w:hAnsi="Times New Roman" w:cs="Times New Roman"/>
                <w:sz w:val="24"/>
                <w:szCs w:val="24"/>
              </w:rPr>
              <w:fldChar w:fldCharType="separate"/>
            </w:r>
            <w:r w:rsidRPr="00E00BCF">
              <w:rPr>
                <w:rStyle w:val="Hyperlink"/>
                <w:rFonts w:ascii="Times New Roman" w:hAnsi="Times New Roman" w:cs="Times New Roman"/>
                <w:color w:val="auto"/>
                <w:sz w:val="24"/>
                <w:szCs w:val="24"/>
                <w:shd w:val="clear" w:color="auto" w:fill="FFFFFF"/>
              </w:rPr>
              <w:t>Luật Trưng mua, trưng dụng tài sản</w:t>
            </w:r>
            <w:r w:rsidRPr="00E00BCF">
              <w:rPr>
                <w:rFonts w:ascii="Times New Roman" w:hAnsi="Times New Roman" w:cs="Times New Roman"/>
                <w:sz w:val="24"/>
                <w:szCs w:val="24"/>
              </w:rPr>
              <w:fldChar w:fldCharType="end"/>
            </w:r>
            <w:bookmarkEnd w:id="19"/>
            <w:r w:rsidRPr="00E00BCF">
              <w:rPr>
                <w:rFonts w:ascii="Times New Roman" w:hAnsi="Times New Roman" w:cs="Times New Roman"/>
                <w:sz w:val="24"/>
                <w:szCs w:val="24"/>
                <w:shd w:val="clear" w:color="auto" w:fill="FFFFFF"/>
              </w:rPr>
              <w:t> và các quy định hiện hành, Ủy ban nhân dân cấp huyện giao đất, bố trí chỗ ở cho các hộ dân cần di dời; quyết định huy động kinh phí, lực lượng, trang thiết bị, vật tư và các tổ chức, cá nhân liên quan theo thẩm quyền để triển khai thực hiện. Trường hợp vượt quá khả năng, Ủy ban nhân dân cấp huyện báo cáo, đề xuất Ban chỉ huy phòng, chống thiên tai và tìm kiếm cứu nạn cấp tỉnh.</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4 Điều 19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4. Ban chỉ huy phòng, chống thiên tai và tìm kiếm cứu nạn cấp tỉnh tổng hợp nhu cầu các huyện, báo cáo Ủy ban nhân dân cấp tỉnh. Căn cứ quy định </w:t>
            </w:r>
            <w:bookmarkStart w:id="20" w:name="tvpllink_hgwsdbdiqw_1"/>
            <w:r w:rsidRPr="00E00BCF">
              <w:rPr>
                <w:rFonts w:ascii="Times New Roman" w:hAnsi="Times New Roman" w:cs="Times New Roman"/>
                <w:sz w:val="24"/>
                <w:szCs w:val="24"/>
              </w:rPr>
              <w:fldChar w:fldCharType="begin"/>
            </w:r>
            <w:r w:rsidRPr="00E00BCF">
              <w:rPr>
                <w:rFonts w:ascii="Times New Roman" w:hAnsi="Times New Roman" w:cs="Times New Roman"/>
                <w:sz w:val="24"/>
                <w:szCs w:val="24"/>
              </w:rPr>
              <w:instrText xml:space="preserve"> HYPERLINK "https://thuvienphapluat.vn/van-ban/Bat-dong-san/Luat-dat-dai-2013-215836.aspx" \t "_blank" </w:instrText>
            </w:r>
            <w:r w:rsidRPr="00E00BCF">
              <w:rPr>
                <w:rFonts w:ascii="Times New Roman" w:hAnsi="Times New Roman" w:cs="Times New Roman"/>
                <w:sz w:val="24"/>
                <w:szCs w:val="24"/>
              </w:rPr>
              <w:fldChar w:fldCharType="separate"/>
            </w:r>
            <w:r w:rsidRPr="00E00BCF">
              <w:rPr>
                <w:rStyle w:val="Hyperlink"/>
                <w:rFonts w:ascii="Times New Roman" w:hAnsi="Times New Roman" w:cs="Times New Roman"/>
                <w:color w:val="auto"/>
                <w:sz w:val="24"/>
                <w:szCs w:val="24"/>
                <w:shd w:val="clear" w:color="auto" w:fill="FFFFFF"/>
              </w:rPr>
              <w:t>Luật Đất đai</w:t>
            </w:r>
            <w:r w:rsidRPr="00E00BCF">
              <w:rPr>
                <w:rFonts w:ascii="Times New Roman" w:hAnsi="Times New Roman" w:cs="Times New Roman"/>
                <w:sz w:val="24"/>
                <w:szCs w:val="24"/>
              </w:rPr>
              <w:fldChar w:fldCharType="end"/>
            </w:r>
            <w:bookmarkEnd w:id="20"/>
            <w:r w:rsidRPr="00E00BCF">
              <w:rPr>
                <w:rFonts w:ascii="Times New Roman" w:hAnsi="Times New Roman" w:cs="Times New Roman"/>
                <w:sz w:val="24"/>
                <w:szCs w:val="24"/>
                <w:shd w:val="clear" w:color="auto" w:fill="FFFFFF"/>
              </w:rPr>
              <w:t>, </w:t>
            </w:r>
            <w:bookmarkStart w:id="21" w:name="tvpllink_iaeoqxhvej_1"/>
            <w:r w:rsidRPr="00E00BCF">
              <w:rPr>
                <w:rFonts w:ascii="Times New Roman" w:hAnsi="Times New Roman" w:cs="Times New Roman"/>
                <w:sz w:val="24"/>
                <w:szCs w:val="24"/>
              </w:rPr>
              <w:fldChar w:fldCharType="begin"/>
            </w:r>
            <w:r w:rsidRPr="00E00BCF">
              <w:rPr>
                <w:rFonts w:ascii="Times New Roman" w:hAnsi="Times New Roman" w:cs="Times New Roman"/>
                <w:sz w:val="24"/>
                <w:szCs w:val="24"/>
              </w:rPr>
              <w:instrText xml:space="preserve"> HYPERLINK "https://thuvienphapluat.vn/van-ban/Tai-chinh-nha-nuoc/Luat-trung-mua-trung-dung-tai-san-2008-15-2008-QH12-66950.aspx" \t "_blank" </w:instrText>
            </w:r>
            <w:r w:rsidRPr="00E00BCF">
              <w:rPr>
                <w:rFonts w:ascii="Times New Roman" w:hAnsi="Times New Roman" w:cs="Times New Roman"/>
                <w:sz w:val="24"/>
                <w:szCs w:val="24"/>
              </w:rPr>
              <w:fldChar w:fldCharType="separate"/>
            </w:r>
            <w:r w:rsidRPr="00E00BCF">
              <w:rPr>
                <w:rStyle w:val="Hyperlink"/>
                <w:rFonts w:ascii="Times New Roman" w:hAnsi="Times New Roman" w:cs="Times New Roman"/>
                <w:color w:val="auto"/>
                <w:sz w:val="24"/>
                <w:szCs w:val="24"/>
                <w:shd w:val="clear" w:color="auto" w:fill="FFFFFF"/>
              </w:rPr>
              <w:t>Luật Trưng mua trưng dụng</w:t>
            </w:r>
            <w:r w:rsidRPr="00E00BCF">
              <w:rPr>
                <w:rFonts w:ascii="Times New Roman" w:hAnsi="Times New Roman" w:cs="Times New Roman"/>
                <w:sz w:val="24"/>
                <w:szCs w:val="24"/>
              </w:rPr>
              <w:fldChar w:fldCharType="end"/>
            </w:r>
            <w:bookmarkEnd w:id="21"/>
            <w:r w:rsidRPr="00E00BCF">
              <w:rPr>
                <w:rFonts w:ascii="Times New Roman" w:hAnsi="Times New Roman" w:cs="Times New Roman"/>
                <w:sz w:val="24"/>
                <w:szCs w:val="24"/>
                <w:shd w:val="clear" w:color="auto" w:fill="FFFFFF"/>
              </w:rPr>
              <w:t> và các quy định hiện hành, Ủy ban nhân dân cấp tỉnh giao đất, bố trí nơi ở cho các hộ dân cần di dời; quyết định huy động kinh phí, lực lượng, trang thiết bị, vật tư và các tổ chức, cá nhân liên quan theo thẩm quyền để hỗ trợ di dời. Trường hợp vượt quá khả năng, Chủ tịch Ủy ban nhân dân cấp tỉnh báo cáo Thủ tướng Chính phủ để kịp thời xử lý.</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22" w:name="dieu_28"/>
            <w:r w:rsidRPr="00E00BCF">
              <w:rPr>
                <w:rFonts w:ascii="Times New Roman" w:eastAsia="Times New Roman" w:hAnsi="Times New Roman" w:cs="Times New Roman"/>
                <w:b/>
                <w:bCs/>
                <w:sz w:val="24"/>
                <w:szCs w:val="24"/>
                <w:lang w:val="vi-VN"/>
              </w:rPr>
              <w:t>Điều 28. Tổ chức, nhiệm vụ của Ban chỉ huy phòng, chống thiên tai và tìm kiếm cứu nạn cấp huyện</w:t>
            </w:r>
            <w:bookmarkEnd w:id="22"/>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1. Ban chỉ huy phòng, chống thiên tai và tìm kiếm cứu nạn cấp huyện do Chủ tịch Ủy ban nhân dân cấp huyện thành lập, có chức năng tham mưu giúp Ủy ban nhân dân cấp huyện trong việc kiểm tra, đôn đốc, chỉ huy điều hành công tác phòng, chống thiên tai và tìm kiếm cứu nạn trong phạm vi địa phương. Ban chỉ huy phòng, chống thiên tai và tìm kiếm cứu nạn cấp huyện có con dấu, tài khoản và được cấp kinh phí để hoạt động.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2. Thành viên của Ban chỉ huy phòng, chống thiên tai và tìm kiếm cứu nạn cấp huyện gồm:</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a) Chủ tịch Ủy ban nhân dân cấp huyện làm Trưởng ban;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lastRenderedPageBreak/>
              <w:t>b) Một Phó Chủ tịch Ủy ban nhân dân cấp huyện làm Phó Trưởng ban thường trực;</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c) Trưởng phòng hoặc thủ trưởng cơ quan được giao nhiệm vụ quản lý nhà nước về phòng, chống thiên tai; Chỉ huy trưởng Ban chỉ huy Quân sự cấp huyện và Trưởng Công an cấp huyện làm Phó Trưởng ban;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d) Các ủy viên là cấp trưởng hoặc đại diện lãnh đạo các phòng và cơ quan, đơn vị có liên quan đến công tác phòng, chống thiên tai và tìm kiếm cứu nạn của địa phương; lãnh đạo Mặt trận Tổ quốc, Hội Phụ nữ, Chữ thập đỏ, Đoàn Thanh niên Cộng sản Hồ Chí Minh và các tổ chức đoàn thể xã hội cấp huyện tham gia Ban chỉ huy phòng, chống thiên tai và tìm kiếm cứu nạn.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3. Căn cứ điều kiện cụ thể của địa phương, Chủ tịch Ủy ban nhân dân cấp huyện quyết định giao trách nhiệm cho một phòng chức năng thuộc Ủy ban nhân dân cấp huyện làm nhiệm vụ Văn phòng thường trực Ban chỉ huy phòng, chống thiên tai và tìm kiếm cứu nạn.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4. Nhiệm vụ của Ban chỉ huy phòng, chống thiên tai và tìm kiếm cứu nạn cấp huyện: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a) Tham mưu giúp Ủy ban nhân dân cấp huyện thực hiện nhiệm vụ phòng, chống thiên tai theo quy định tại </w:t>
            </w:r>
            <w:bookmarkStart w:id="23" w:name="dc_19"/>
            <w:r w:rsidRPr="00E00BCF">
              <w:rPr>
                <w:rFonts w:ascii="Times New Roman" w:eastAsia="Times New Roman" w:hAnsi="Times New Roman" w:cs="Times New Roman"/>
                <w:sz w:val="24"/>
                <w:szCs w:val="24"/>
                <w:lang w:val="vi-VN"/>
              </w:rPr>
              <w:t>khoản 1 Điều 43 của Luật Phòng, chống thiên tai</w:t>
            </w:r>
            <w:bookmarkEnd w:id="23"/>
            <w:r w:rsidRPr="00E00BCF">
              <w:rPr>
                <w:rFonts w:ascii="Times New Roman" w:eastAsia="Times New Roman" w:hAnsi="Times New Roman" w:cs="Times New Roman"/>
                <w:sz w:val="24"/>
                <w:szCs w:val="24"/>
                <w:lang w:val="vi-VN"/>
              </w:rPr>
              <w: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b) Chỉ đạo, đôn đốc việc xây dựng và trình phê duyệt kế hoạch, phương án ứng phó thiên tai của địa phương;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c) Chỉ huy và tổ chức ứng phó thiên tai, tìm kiếm cứu nạn trong thiên tai trong phạm vi cấp huyện;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d) Kiểm tra, đôn đốc các cơ quan, đơn vị tại địa phương thực hiện nhiệm vụ phòng, chống thiên tai;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đ) Giúp Ủy ban nhân dân huyện chỉ đạo, kiểm tra, tổng hợp báo cáo công tác thống kê đánh giá thiệt hại, khắc phục hậu quả và phục hồi tái thiết sau thiên tai;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e) Tổ chức tập huấn cho các lực lượng tham gia hoạt động phòng, chống thiên tai và tìm kiếm cứu nạn;</w:t>
            </w:r>
          </w:p>
          <w:p w:rsidR="00E00BCF" w:rsidRPr="00E00BCF" w:rsidRDefault="00E00BCF" w:rsidP="00A335FB">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g) Tổ chức phổ biến, tuyên truyền các hoạt động nâng cao nhận thức cộng đồng về phòng, chống thiên tai;</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09/2025/NĐ-CP ngày 10 tháng 01 năm 2025 của Chính phủ quy định về chính sách hỗ trợ sản xuất nông nghiệp để khôi phục sản xuất vùng bị thiệt hại do thiên tai, dịch hại thực vật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
                <w:bCs/>
                <w:sz w:val="24"/>
                <w:szCs w:val="24"/>
              </w:rPr>
              <w:t>khoản 2 Điều 6</w:t>
            </w:r>
          </w:p>
          <w:p w:rsidR="00E00BCF" w:rsidRPr="00E00BCF" w:rsidRDefault="00E00BCF" w:rsidP="00814E4D">
            <w:pPr>
              <w:pStyle w:val="NormalWeb"/>
              <w:shd w:val="clear" w:color="auto" w:fill="FFFFFF"/>
              <w:spacing w:before="0" w:after="0" w:line="240" w:lineRule="auto"/>
              <w:rPr>
                <w:i w:val="0"/>
                <w:color w:val="auto"/>
                <w:sz w:val="24"/>
                <w:lang w:val="en-US"/>
              </w:rPr>
            </w:pPr>
            <w:r w:rsidRPr="00E00BCF">
              <w:rPr>
                <w:bCs/>
                <w:color w:val="auto"/>
                <w:sz w:val="24"/>
              </w:rPr>
              <w:t>“</w:t>
            </w:r>
            <w:r w:rsidRPr="00E00BCF">
              <w:rPr>
                <w:i w:val="0"/>
                <w:color w:val="auto"/>
                <w:sz w:val="24"/>
                <w:lang w:val="en-US"/>
              </w:rPr>
              <w:t>2. Trình tự, trách nhiệm thực hiện việc hỗ trợ thiệt hại do thiên tai, dịch hại thực vật trừ trường hợp quy định tại khoản 1 Điều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Trách nhiệm của Ủy ban nhân dân cấp xã</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Chủ tịch Ủy ban nhân dân cấp xã thành lập Tổ kiểm tra phối hợp với cơ sở sản xuất tiến hành thống kê, đánh giá mức độ thiệt hại báo cáo Ủy ban nhân dân cấp xã để giải quyết.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Tổ kiểm tra bao gồm đại diện Ủy ban nhân dân cấp xã, đại diện một số tổ chức chính trị - xã hội tại địa phương, đại diện thôn, tổ dân phố. Trường hợp cần thiết, Chủ tịch Ủy ban nhân dân cấp xã quyết định mời đại diện Ủy ban nhân dân cấp huyện tham gia Tổ kiểm tra. Tổ kiểm tra thực hiện phối hợp với cơ sở sản xuất tổ chức thống kê, đánh giá mức độ thiệt hại, nhu cầu hỗ trợ cụ thể báo cáo Ủy ban nhân dân cấp xã.</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Ủy ban nhân dân cấp xã tổng hợp báo cáo Ủy ban nhân dân cấp huyện theo biểu mẫu tại </w:t>
            </w:r>
            <w:bookmarkStart w:id="24" w:name="bieumau_pl_01"/>
            <w:r w:rsidRPr="00E00BCF">
              <w:rPr>
                <w:rFonts w:ascii="Times New Roman" w:eastAsia="Times New Roman" w:hAnsi="Times New Roman" w:cs="Times New Roman"/>
                <w:sz w:val="24"/>
                <w:szCs w:val="24"/>
              </w:rPr>
              <w:t>Phụ lục</w:t>
            </w:r>
            <w:bookmarkEnd w:id="24"/>
            <w:r w:rsidRPr="00E00BCF">
              <w:rPr>
                <w:rFonts w:ascii="Times New Roman" w:eastAsia="Times New Roman" w:hAnsi="Times New Roman" w:cs="Times New Roman"/>
                <w:sz w:val="24"/>
                <w:szCs w:val="24"/>
              </w:rPr>
              <w:t> ban hành kèm theo Nghị định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Trách nhiệm của Ủy ban nhân dân cấp huyện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Căn cứ báo cáo của Ủy ban nhân dân cấp xã, Ủy ban nhân dân cấp huyện tổ chức thẩm định và quyết định hỗ trợ theo thẩm quyền hoặc tổng hợp báo cáo Ủy ban nhân dân cấp tỉnh theo biểu mẫu tại </w:t>
            </w:r>
            <w:bookmarkStart w:id="25" w:name="bieumau_pl_01_1"/>
            <w:r w:rsidRPr="00E00BCF">
              <w:rPr>
                <w:rFonts w:ascii="Times New Roman" w:eastAsia="Times New Roman" w:hAnsi="Times New Roman" w:cs="Times New Roman"/>
                <w:sz w:val="24"/>
                <w:szCs w:val="24"/>
              </w:rPr>
              <w:t>Phụ lục</w:t>
            </w:r>
            <w:bookmarkEnd w:id="25"/>
            <w:r w:rsidRPr="00E00BCF">
              <w:rPr>
                <w:rFonts w:ascii="Times New Roman" w:eastAsia="Times New Roman" w:hAnsi="Times New Roman" w:cs="Times New Roman"/>
                <w:sz w:val="24"/>
                <w:szCs w:val="24"/>
              </w:rPr>
              <w:t> ban hành kèm theo Nghị định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Trách nhiệm của Ủy ban nhân dân cấp tỉnh</w:t>
            </w:r>
          </w:p>
          <w:p w:rsidR="00E00BCF" w:rsidRPr="00E00BCF" w:rsidRDefault="00E00BCF" w:rsidP="00A335FB">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Căn cứ báo cáo của Ủy ban nhân dân cấp huyện, cơ quan chuyên môn về nông nghiệp và phát triển nông thôn thuộc Ủy ban nhân dân cấp tỉnh có trách nhiệm thẩm định, trình Ủy ban nhân dân cấp tỉnh phê duyệt và bố trí ngân sách địa phương và các nguồn tài chính hợp pháp khác để đáp ứng kịp thời nhu cầu hỗ trợ khôi phục sản xuất vùng bị thiệt hại do thiên tai, dịch hại thực vật theo quy định tại Nghị định này.</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78/2021/NĐ-CP ngày 01 tháng 8 năm 2021 của Chính phủ về thành lập và quản lý Quỹ phòng, chống thiên tai, đã được sửa đổi, bổ sung một số điều tại Nghị định số 63/2025/NĐ-CP ngày 05 tháng 3 năm 2025 của Chính phủ</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4 Điều 11</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4. Ủy ban nhân dân cấp tỉnh giao Ủy ban nhân dân cấp huyện, xã tổ chức công tác thu, nộp quỹ theo quy định.</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k khoản 1 Điều 13</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k) Tổ chức kinh tế trong nước và nước ngoài trên địa bàn trong năm bị thiệt hại do thiên tai gây ra về tài sản, nhà xưởng, thiết bị khi phải tu sửa, mua sắm với giá trị lớn hơn hai phần vạn (0,02%) tổng giá trị tài sản của tổ chức hoặc phải ngừng sản xuất kinh doanh từ 05 ngày liên tục trở lên có xác nhận của Ủy ban nhân dân cấp huyện hoặc được miễn thuế thu nhập doanh nghiệp.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 Điều 14</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1. Ủy ban nhân dân cấp huyện có trách nhiệm tổng hợp danh sách các đối tượng được quy định tại điểm i, điểm k khoản 1 và khoản 2 Điều 13 Nghị định này trình Chủ tịch Ủy ban nhân dân cấp tỉnh quyết định miễn, giảm, tạm hoãn đóng góp Quỹ. Thời gian tạm hoãn đóng góp Quỹ cấp tỉnh từ 06 tháng đến 01 năm.</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5029A3">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14</w:t>
            </w:r>
          </w:p>
          <w:p w:rsidR="00E00BCF" w:rsidRPr="00E00BCF" w:rsidRDefault="00E00BCF" w:rsidP="005029A3">
            <w:pPr>
              <w:jc w:val="both"/>
              <w:rPr>
                <w:rFonts w:ascii="Times New Roman" w:hAnsi="Times New Roman" w:cs="Times New Roman"/>
                <w:b/>
                <w:bCs/>
                <w:sz w:val="24"/>
                <w:szCs w:val="24"/>
              </w:rPr>
            </w:pPr>
            <w:r w:rsidRPr="00E00BCF">
              <w:rPr>
                <w:rFonts w:ascii="Times New Roman" w:hAnsi="Times New Roman" w:cs="Times New Roman"/>
                <w:sz w:val="24"/>
                <w:szCs w:val="24"/>
                <w:shd w:val="clear" w:color="auto" w:fill="FFFFFF"/>
              </w:rPr>
              <w:t>2. Ủy ban nhân dân cấp xã có trách nhiệm tổng hợp danh sách các đối tượng còn lại quy định tại khoản 1 Điều 13 Nghị định này trình Chủ tịch Ủy ban nhân dân cấp huyện quyết định miễn đóng góp.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6 Điều 15</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6. Thủ trưởng cơ quan, tổ chức và Ủy ban nhân dân cấp huyện, xã căn cứ đối tượng, mức đóng góp thuộc phạm vi quản lý, các đối tượng miễn, giảm, tạm hoãn để xây dựng kế hoạch thu của cơ quan, đơn vị và địa phương.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17</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Cơ quan quản lý Quỹ cấp tỉnh có trách nhiệm tổng hợp nhu cầu hỗ trợ từ Quỹ Phòng, chống thiên tai do Ủy ban nhân dân cấp huyện và các cơ quan, tổ chức đề nghị; tổ chức kiểm tra, rà soát và đề xuất trình Chủ tịch Ủy ban nhân dân tỉnh quyết định.</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20</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Cấp huyện phải công khai kết quả thu nộp, danh sách tổ chức kinh tế trong nước và nước ngoài đã đóng quỹ trên địa bàn huyện và từng xã; tổng kinh phí được cấp cho công tác phòng, chống thiên tai và nội dung chi bằng các hình thức: báo cáo giải trình tại cuộc họp tổng kết hàng năm, niêm yết tại trụ sở Ủy ban nhân dân cấp huyện và công khai trên Cổng thông tin điện tử của Ủy ban nhân dân cấp huyện.</w:t>
            </w:r>
          </w:p>
        </w:tc>
      </w:tr>
      <w:tr w:rsidR="00E00BCF" w:rsidRPr="00E00BCF" w:rsidTr="00091924">
        <w:trPr>
          <w:trHeight w:val="867"/>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TÀI NGUYÊN NƯỚC</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Tài nguyên nước</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d khoản 6 Điều 23</w:t>
            </w:r>
          </w:p>
          <w:p w:rsidR="00E00BCF" w:rsidRPr="00E00BCF" w:rsidRDefault="00E00BCF" w:rsidP="00814E4D">
            <w:pPr>
              <w:jc w:val="both"/>
              <w:rPr>
                <w:rFonts w:ascii="Times New Roman" w:hAnsi="Times New Roman" w:cs="Times New Roman"/>
                <w:bCs/>
                <w:sz w:val="24"/>
                <w:szCs w:val="24"/>
              </w:rPr>
            </w:pPr>
            <w:bookmarkStart w:id="26" w:name="diem_d_6_23"/>
            <w:r w:rsidRPr="00E00BCF">
              <w:rPr>
                <w:rFonts w:ascii="Times New Roman" w:hAnsi="Times New Roman" w:cs="Times New Roman"/>
                <w:sz w:val="24"/>
                <w:szCs w:val="24"/>
                <w:shd w:val="clear" w:color="auto" w:fill="FFFFFF"/>
              </w:rPr>
              <w:lastRenderedPageBreak/>
              <w:t>d) Ủy ban nhân dân cấp tỉnh giao mốc giới hành lang bảo vệ nguồn nước cho Ủy ban nhân dân cấp huyện hoặc Ủy ban nhân dân cấp xã để quản lý, bảo vệ.</w:t>
            </w:r>
            <w:bookmarkEnd w:id="26"/>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d khoản 2 Điều 26</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d) Chỉ đạo Ủy ban nhân dân cấp huyện, cấp xã thực hiện các biện pháp theo dõi, giám sát, bảo vệ chất lượng nguồn nước sinh hoạt tại địa phương.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53</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Ủy ban nhân dân cấp huyện tổ chức đăng ký khai thác nước dưới đất;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d khoản 3 Điều 80</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d) Định kỳ tổng hợp, báo cáo Ủy ban nhân dân cấp huyện việc khai thác nước dưới đất của hộ gia đình để sử dụng cho sinh hoạt;</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53/2024/NĐ-CP ngày 16 tháng 5 năm 2024 của Chính phủ quy định chi tiết thi hành một số điều của Luật Tài nguyên nước</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3 Điều 26</w:t>
            </w:r>
          </w:p>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27" w:name="diem_a_3_26"/>
            <w:r w:rsidRPr="00E00BCF">
              <w:rPr>
                <w:rFonts w:ascii="Times New Roman" w:eastAsia="Times New Roman" w:hAnsi="Times New Roman" w:cs="Times New Roman"/>
                <w:sz w:val="24"/>
                <w:szCs w:val="24"/>
              </w:rPr>
              <w:t>a) Căn cứ quy định tại các</w:t>
            </w:r>
            <w:bookmarkEnd w:id="27"/>
            <w:r w:rsidRPr="00E00BCF">
              <w:rPr>
                <w:rFonts w:ascii="Times New Roman" w:eastAsia="Times New Roman" w:hAnsi="Times New Roman" w:cs="Times New Roman"/>
                <w:sz w:val="24"/>
                <w:szCs w:val="24"/>
              </w:rPr>
              <w:t> </w:t>
            </w:r>
            <w:bookmarkStart w:id="28" w:name="tc_27"/>
            <w:r w:rsidRPr="00E00BCF">
              <w:rPr>
                <w:rFonts w:ascii="Times New Roman" w:eastAsia="Times New Roman" w:hAnsi="Times New Roman" w:cs="Times New Roman"/>
                <w:sz w:val="24"/>
                <w:szCs w:val="24"/>
              </w:rPr>
              <w:t>Điều 21 và Điều 22 của Nghị định này</w:t>
            </w:r>
            <w:bookmarkEnd w:id="28"/>
            <w:r w:rsidRPr="00E00BCF">
              <w:rPr>
                <w:rFonts w:ascii="Times New Roman" w:eastAsia="Times New Roman" w:hAnsi="Times New Roman" w:cs="Times New Roman"/>
                <w:sz w:val="24"/>
                <w:szCs w:val="24"/>
              </w:rPr>
              <w:t>, </w:t>
            </w:r>
            <w:bookmarkStart w:id="29" w:name="diem_a_3_26_name"/>
            <w:r w:rsidRPr="00E00BCF">
              <w:rPr>
                <w:rFonts w:ascii="Times New Roman" w:eastAsia="Times New Roman" w:hAnsi="Times New Roman" w:cs="Times New Roman"/>
                <w:sz w:val="24"/>
                <w:szCs w:val="24"/>
              </w:rPr>
              <w:t>Sở Tài nguyên và Môi trường chủ trì, phối hợp với Ủy ban nhân dân quận, huyện, thị xã thành phố trực thuộc tỉnh, thành phố trực thuộc thành phố (sau đây gọi chung là Ủy ban nhân dân cấp huyện) lập Danh mục nguồn nước phải lập hành lang bảo vệ trên địa bàn, lấy ý kiến của Sở Nông nghiệp và Phát triển nông thôn, Sở Công Thương, Sở Xây dựng, Sở Giao thông vận tải và các sở, ngành có liên quan, trước khi trình Ủy ban nhân dân cấp tỉnh phê duyệt;</w:t>
            </w:r>
            <w:bookmarkEnd w:id="29"/>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Hồ sơ gửi lấy ý kiến bao gồm: dự thảo Tờ trình; dự thảo Quyết định phê duyệt Danh mục nguồn nước phải lập hành lang bảo vệ và các tài liệu khác có liên quan.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Dự thảo Tờ trình phải bao gồm các nội dung chính sau: thuyết minh về việc lựa chọn các nguồn nước phải lập hành lang bảo vệ; cơ sở xác định chức năng của từng hành lang bảo vệ; quá trình tổ chức xây dựng Danh mục;</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3 Điều 26</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Trong thời hạn không quá 15 ngày kể từ ngày phê duyệt, Sở Tài nguyên và Môi trường có trách nhiệm tổ chức công bố Danh mục nguồn nước phải lập hành lang bảo vệ trên các phương tiện thông tin đại chúng, đăng tải trên cổng thông tin điện tử của Sở Tài nguyên và Môi trường, thông báo tới Ủy ban nhân dân cấp huyện và niêm yết công khai tại trụ sở Ủy ban nhân dân xã, phường, thị trấn (sau đây gọi chung là Ủy ban nhân dân cấp xã) nơi có nguồn nước phải lập hành lang bảo vệ.</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4 Điều 26</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Trường hợp cần điều chỉnh Danh mục nguồn nước phải lập hành lang bảo vệ hoặc điều chỉnh phạm vi hành lang bảo vệ nguồn nước đã được phê duyệt, Sở Tài nguyên và Môi trường rà soát, đánh giá, lấy ý kiến của Sở Nông nghiệp và Phát triển nông thôn, Sở Công Thương, Sở Xây dựng, Sở Giao thông vận tải, các sở, ngành, Ủy ban nhân dân cấp huyện có liên quan và tổng hợp, trình Ủy ban nhân dân cấp tỉnh xem xét, quyết định điều chỉnh Danh mục nguồn nước phải lập hành lang bảo vệ.</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Việc thực hiện điều chỉnh Danh mục nguồn nước phải lập hành lang bảo vệ hoặc điều chỉnh phạm vi hành lang bảo vệ nguồn nước được thực hiện như việc lập, công bố danh mục nguồn nước phải lập hành lang bảo vệ theo quy định tại khoản 3 Điều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 Điều 27</w:t>
            </w:r>
          </w:p>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30" w:name="khoan_1_27"/>
            <w:r w:rsidRPr="00E00BCF">
              <w:rPr>
                <w:rFonts w:ascii="Times New Roman" w:eastAsia="Times New Roman" w:hAnsi="Times New Roman" w:cs="Times New Roman"/>
                <w:sz w:val="24"/>
                <w:szCs w:val="24"/>
              </w:rPr>
              <w:t xml:space="preserve">1. Căn cứ vào phạm vi hành lang trong Danh mục nguồn nước phải lập hành lang bảo vệ đã được phê duyệt, Sở Tài nguyên và Môi trường phối hợp với Ủy ban nhân dân cấp huyện, Ủy ban nhân dân cấp xã xác định mốc chỉ giới hành lang bảo vệ nguồn nước trên bản đồ địa chính đối với các khu vực đã có bản đồ địa chính. Trường hợp chưa có bản đồ địa chính thì phạm vi hành lang bảo vệ nguồn nước phải được thể hiện trên bản </w:t>
            </w:r>
            <w:r w:rsidRPr="00E00BCF">
              <w:rPr>
                <w:rFonts w:ascii="Times New Roman" w:eastAsia="Times New Roman" w:hAnsi="Times New Roman" w:cs="Times New Roman"/>
                <w:sz w:val="24"/>
                <w:szCs w:val="24"/>
              </w:rPr>
              <w:lastRenderedPageBreak/>
              <w:t>đồ hiện trạng sử dụng đất và đưa vào kế hoạch sử dụng đất; cập nhật, bổ sung mốc chỉ giới hành lang bảo vệ nguồn nước sau khi bản đồ địa chính được thành lập.</w:t>
            </w:r>
            <w:bookmarkEnd w:id="30"/>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Việc thể hiện phạm vi hành lang bảo vệ nguồn nước trên bản đồ địa chính hoặc bản đồ hiện trạng sử dụng đất được thực hiện theo quy định của pháp luật về đất đai.</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28</w:t>
            </w:r>
          </w:p>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31" w:name="khoan_3_28"/>
            <w:r w:rsidRPr="00E00BCF">
              <w:rPr>
                <w:rFonts w:ascii="Times New Roman" w:eastAsia="Times New Roman" w:hAnsi="Times New Roman" w:cs="Times New Roman"/>
                <w:sz w:val="24"/>
                <w:szCs w:val="24"/>
              </w:rPr>
              <w:t>3. Tổ chức quản lý, vận hành hồ chứa thủy điện quy định tại khoản 2 Điều này chủ trì, phối hợp với Ủy ban nhân dân cấp huyện nơi có hồ chứa xây dựng phương án cắm mốc giới hành lang bảo vệ nguồn nước của hồ chứa. Phương án cắm mốc giới hành lang bảo vệ nguồn nước của hồ chứa thủy điện phải có các nội dung chính sau đây:</w:t>
            </w:r>
            <w:bookmarkEnd w:id="31"/>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Thông số cơ bản của hồ chứa;</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Hiện trạng quản lý, sử dụng đất quanh hồ chứa;</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Xác định phạm vi cụ thể hành lang bảo vệ nguồn nước của hồ chứa trên sơ đồ mặt bằng;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Tọa độ, vị trí hành chính của các mốc giới, khoảng cách của các mốc giới;</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Phương án huy động nhân lực, vật tư, vật liệu, thi công, giải phóng mặt bằng trên thực địa;</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Tiến độ cắm mốc, bàn giao mốc giới, kinh phí thực hiện.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4 Điều 28</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Thẩm định phương án cắm mốc giới hành lang bảo vệ nguồn nước của hồ chứa thủy điện: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Trong thời hạn 42 ngày, kể từ ngày nhận được phương án đạt yêu cầu quy định, Sở Tài nguyên và Môi trường có trách nhiệm lấy ý kiến của Sở Công Thương, Sở Nông nghiệp và Phát triển nông thôn, Ủy ban nhân dân cấp huyện nơi có hồ chứa, các cơ quan, đơn vị có liên quan; nếu cần thiết thì tiến hành tổ chức kiểm tra thực địa, trình Ủy ban nhân dân cấp tỉnh thành lập Hội đồng thẩm định phương án cắm mốc giới hành lang bảo vệ nguồn nước của hồ chứa.</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Trong thời hạn 07 ngày làm việc, các cơ quan được lấy ý kiến có trách nhiệm trả lời bằng văn bản đến Sở Tài nguyên và Môi trường. Sở Tài nguyên và Môi trường có trách nhiệm tổng hợp ý kiến và gửi tổ chức quản lý, vận hành hồ chứa để hoàn thiện. Tổ chức quản lý, vận hành hồ chứa có trách nhiệm tiếp thu, giải trình các ý kiến, hoàn thiện hồ sơ. Thời gian bổ sung, hoàn thiện phương án không tính vào thời gian thẩm định phương án.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Trường hợp đủ điều kiện, Sở Tài nguyên và Môi trường trình Ủy ban nhân dân cấp tỉnh phê duyệt phương án cắm mốc; trường hợp không đủ điều kiện phê duyệt thì trả lại phương án cho tổ chức quản lý, vận hành hồ chứa và thông báo bằng văn bản cho tổ chức quản lý, vận hành hồ chứa biết và nêu rõ lý do;</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5 Điều 28</w:t>
            </w:r>
          </w:p>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32" w:name="khoan_5_28"/>
            <w:r w:rsidRPr="00E00BCF">
              <w:rPr>
                <w:rFonts w:ascii="Times New Roman" w:eastAsia="Times New Roman" w:hAnsi="Times New Roman" w:cs="Times New Roman"/>
                <w:sz w:val="24"/>
                <w:szCs w:val="24"/>
              </w:rPr>
              <w:t>5. Căn cứ phương án cắm mốc giới đã được phê duyệt, tổ chức quản lý, vận hành hồ chứa thủy điện chủ trì, phối hợp với Ủy ban nhân dân cấp huyện nơi có hồ chứa thủy điện thực hiện việc cắm mốc giới trên thực địa; bàn giao mốc giới cho Ủy ban nhân dân cấp tỉnh nơi có hồ chứa.</w:t>
            </w:r>
            <w:bookmarkEnd w:id="32"/>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Căn cứ vào tình hình thực tế của từng địa phương, Ủy ban nhân dân cấp tỉnh thực hiện giao mốc giới cho Ủy ban nhân dân cấp huyện hoặc Ủy ban nhân dân cấp xã nơi có hồ chứa thủy điện để quản lý, bảo vệ.</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29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lastRenderedPageBreak/>
              <w:t>2. Hằng năm, căn cứ vào kế hoạch cắm mốc giới hành lang trong Danh mục các nguồn nước phải lập hành lang bảo vệ được phê duyệt, Sở Tài nguyên và Môi trường chủ trì, phối hợp với Ủy ban nhân dân cấp huyện trình Ủy ban nhân dân cấp tỉnh phê duyệt phương án cắm mốc giới hành lang bảo vệ nguồn nước trên địa bàn.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31</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Ủy ban nhân dân cấp huyện, cấp xã có trách nhiệm:</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Tổ chức quản lý, bảo vệ mốc giới hành lang bảo vệ nguồn nước theo chỉ đạo của Ủy ban nhân dân cấp tỉnh; giám sát các hoạt động trong hành lang bảo vệ nguồn nước;</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Phối hợp với Sở Tài nguyên và Môi trường trong việc xây dựng Danh mục các nguồn nước phải lập hành lang bảo vệ trên địa bàn; thể hiện mốc chỉ giới hành lang bảo vệ nguồn nước trên địa bàn theo bản đồ địa chính;</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Phối hợp với tổ chức, cá nhân vận hành hồ chứa thủy điện trong việc xây dựng phương án cắm mốc giới xác định hành lang bảo vệ nguồn nước của hồ chứa thủy điện trên địa bàn và thực hiện việc cắm mốc giới trên thực địa sau khi phương án cắm mốc giới được phê duyệt.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2 Điều 38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Ủy ban nhân dân cấp huyện có phạm vi thuộc vùng cấm, vùng hạn chế khai thác nước dưới đất;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6 Điều 38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6. Trong thời hạn 20 ngày kể từ ngày có Quyết định phê duyệt, Sở Tài nguyên và Môi trường có trách nhiệm tổ chức công bố Danh mục vùng cấm, vùng hạn chế khai thác nước dưới đất và phương án, lộ trình tổ chức thực hiện việc cấm, hạn chế khai thác nước dưới đất trên các phương tiện thông tin đại chúng và gửi để đăng tải lên Cổng thông tin điện tử của Ủy ban nhân dân cấp tỉnh; thông báo tới Ủy ban nhân dân cấp huyện, Ủy ban nhân dân cấp xã nơi có vùng cấm, vùng hạn chế khai thác nước dưới đất; thông báo tới các tổ chức, cá nhân có liên quan để tổ chức thực hiện, đồng thời gửi Bộ Tài nguyên và Môi trường để tổng hợp.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39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2. Ủy ban nhân dân cấp tỉnh có trách nhiệm:</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a) Chỉ đạo Sở Tài nguyên và Môi trường tổ chức việc khoanh định vùng cấm, vùng hạn chế khai thác nước dưới đất, công bố Danh mục, Bản đồ phân vùng cấm, vùng hạn chế khai thác nước dưới đất và lập phương án tổ chức thực hiện việc cấm, hạn chế khai thác nước dưới đất trên địa bàn;</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b) Phê duyệt Danh mục, Bản đồ phân vùng cấm, vùng hạn chế khai thác nước dưới đất và Phương án tổ chức thực hiện việc cấm, hạn chế khai thác trên địa bàn và chỉ đạo Sở Tài nguyên và Môi trường, Ủy ban nhân dân cấp huyện, Ủy ban nhân dân cấp xã tổ chức thực hiện sau khi được phê duyệt;</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c) Thanh tra, kiểm tra và xử lý vi phạm pháp luật về việc xác định vùng cấm, vùng hạn chế khai thác nước dưới đất trên địa bàn tỉnh;</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d) Bố trí kinh phí để thực hiện xác định vùng cấm, vùng hạn chế khai thác nước dưới đất trên địa bàn tỉnh trong dự toán ngân sách địa phương hằng năm theo quy định của pháp luật về ngân sách;</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đ) Tổ chức rà soát, công bố đưa các vùng hạn chế khai thác nước dưới đất không phù hợp với quy định của Nghị định này ra khỏi Danh mục vùng hạn chế khai thác nước dưới đất đã được ban hành theo Nghị định số 167/2018/NĐ-CP ngày 26 tháng 12 năm 2018 của Chính phủ quy định việc hạn chế khai thác nước dưới đất.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39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lastRenderedPageBreak/>
              <w:t>3. Ủy ban nhân dân cấp huyện, Ủy ban nhân dân cấp xã phối hợp với Sở Tài nguyên và Môi trường trong việc khoanh định vùng cấm, vùng hạn chế khai thác nước dưới đất, công bố Danh mục và Bản đồ phân vùng cấm, vùng hạn chế khai thác nước dưới đất; giám sát các tổ chức, cá nhân trên địa bàn trong việc thực hiện các biện pháp cấm, hạn chế khai thác nước dưới đất theo Phương án được phê duyệt.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2 Điều 57</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Sở Tài nguyên và Môi trường chủ trì, phối hợp với Ủy ban nhân dân cấp huyện lập Danh mục hồ, ao, đầm, phá không được san lấp trên địa bàn tỉnh, gửi lấy ý kiến các Sở Nông nghiệp và Phát triển nông thôn, Sở Công Thương, Sở Xây dựng, Sở Văn hóa, Thể thao và Du lịch và Sở, ngành, Ủy ban nhân dân cấp huyện có liên quan.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Hồ sơ gửi lấy ý kiến bao gồm: báo cáo thuyết minh việc lập Danh mục hồ, ao, đầm, phá nội tỉnh không được san lấp và Dự thảo Quyết định phê duyệt Danh mục hồ, ao, đầm phá nội tỉnh không được san lấp;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3 Điều 58</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Trên cơ sở đề xuất của các sở, ngành hoặc Ủy ban nhân cấp huyện, Sở Tài nguyên và Môi trường gửi lấy ý kiến Sở Nông nghiệp và Phát triển nông thôn, Sở Công Thương, Sở Xây dựng, Sở Văn hóa, thể thao và du lịch, Ủy ban nhân cấp huyện nơi có hồ, ao, đầm, phá đề xuất đưa ra khỏi Danh mục và cơ quan, tổ chức có liên quan.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Hồ sơ gửi lấy ý kiến gồm: dự thảo Tờ trình; dự thảo Quyết định điều chỉnh Danh mục hồ, ao, đầm, phá nội tỉnh không được san lấp trên địa bàn tỉnh, Báo cáo thuyết minh lý do việc đưa ra khỏi Danh mục và các tài liệu khác liên quan;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95</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Ủy ban nhân dân cấp huyện thực hiện các trách nhiệm theo quy định của Nghị định này và các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Phối hợp với Sở Tài nguyên và Môi trường trong việc: xây dựng Danh mục các nguồn nước phải lập hành lang bảo vệ trên địa bàn; xây dựng phương án cắm mốc giới hành lang bảo vệ sông, suối, kênh, rạch, hồ tự nhiên, hồ nhân tạo ở đô thị, khu dân cư tập trung và các nguồn nước khác trên địa bàn và phối hợp thực hiện việc cắm mốc giới trên thực địa sau khi phương án cắm mốc giới được phê duyệt;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Tiếp nhận, quản lý, bảo vệ mốc giới hành lang bảo vệ nguồn nước theo phân công;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Phối hợp với tổ chức, cá nhân vận hành hồ chứa trong việc xây dựng phương án cắm mốc giới xác định hành lang bảo vệ hồ chứa thủy điện, thủy lợi trên địa bàn và phối hợp thực hiện việc cắm mốc giới trên thực địa sau khi phương án cắm mốc giới được phê duyệt;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Phối hợp với Sở Tài nguyên và Môi trường trong việc: khoanh định, công bố Danh mục và Bản đồ phân vùng cấm, vùng hạn chế khai thác nước dưới đất; giám sát các tổ chức, cá nhân trên địa bàn trong việc thực hiện các biện pháp hạn chế khai thác nước dưới đất theo Phương án được phê duyệt;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Thực hiện các nhiệm vụ quản lý nhà nước về tài nguyên nước theo phân cấp hoặc ủy quyền của Ủy ban nhân dân cấp tỉnh.</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54/2024/NĐ-CP ngày 16 tháng 5 năm 2024 của Chính phủ quy định việc hành nghề khoan nước dưới đất, kê khai, đăng ký, cấp phép, dịch vụ tài nguyên nước và tiền cấp quyền khai thác tài nguyên nước</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15</w:t>
            </w:r>
          </w:p>
          <w:p w:rsidR="00E00BCF" w:rsidRPr="00E00BCF" w:rsidRDefault="00E00BCF" w:rsidP="00814E4D">
            <w:pPr>
              <w:jc w:val="both"/>
              <w:rPr>
                <w:rFonts w:ascii="Times New Roman" w:hAnsi="Times New Roman" w:cs="Times New Roman"/>
                <w:bCs/>
                <w:strike/>
                <w:spacing w:val="-4"/>
                <w:sz w:val="24"/>
                <w:szCs w:val="24"/>
              </w:rPr>
            </w:pPr>
            <w:r w:rsidRPr="00E00BCF">
              <w:rPr>
                <w:rFonts w:ascii="Times New Roman" w:hAnsi="Times New Roman" w:cs="Times New Roman"/>
                <w:sz w:val="24"/>
                <w:szCs w:val="24"/>
                <w:shd w:val="clear" w:color="auto" w:fill="FFFFFF"/>
              </w:rPr>
              <w:t>3. Ủy ban nhân dân cấp huyện xác nhận đăng ký khai thác nước dưới đất với trường hợp quy định tại </w:t>
            </w:r>
            <w:bookmarkStart w:id="33" w:name="tc_18"/>
            <w:r w:rsidRPr="00E00BCF">
              <w:rPr>
                <w:rFonts w:ascii="Times New Roman" w:hAnsi="Times New Roman" w:cs="Times New Roman"/>
                <w:sz w:val="24"/>
                <w:szCs w:val="24"/>
                <w:shd w:val="clear" w:color="auto" w:fill="FFFFFF"/>
              </w:rPr>
              <w:t>điểm c, d khoản 2 Điều 8 của Nghị định này</w:t>
            </w:r>
            <w:bookmarkEnd w:id="33"/>
            <w:r w:rsidRPr="00E00BCF">
              <w:rPr>
                <w:rFonts w:ascii="Times New Roman" w:hAnsi="Times New Roman" w:cs="Times New Roman"/>
                <w:sz w:val="24"/>
                <w:szCs w:val="24"/>
                <w:shd w:val="clear" w:color="auto" w:fill="FFFFFF"/>
              </w:rPr>
              <w: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25</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3. Trường hợp chưa có ứng dụng kê khai, đăng ký khai thác, sử dụng tài nguyên nước thì việc đăng ký khai thác, sử dụng nước dưới đất thực hiện như sau:</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Tổ chức, cá nhân khai thác, sử dụng nước dưới đất thuộc trường hợp phải đăng ký theo quy định tại điểm c và điểm d khoản 2 Điều 8 của Nghị định này nộp 2 tờ khai đăng ký theo </w:t>
            </w:r>
            <w:bookmarkStart w:id="34" w:name="bieumau_ms_13"/>
            <w:r w:rsidRPr="00E00BCF">
              <w:rPr>
                <w:rFonts w:ascii="Times New Roman" w:eastAsia="Times New Roman" w:hAnsi="Times New Roman" w:cs="Times New Roman"/>
                <w:sz w:val="24"/>
                <w:szCs w:val="24"/>
              </w:rPr>
              <w:t>Mẫu 13</w:t>
            </w:r>
            <w:bookmarkEnd w:id="34"/>
            <w:r w:rsidRPr="00E00BCF">
              <w:rPr>
                <w:rFonts w:ascii="Times New Roman" w:eastAsia="Times New Roman" w:hAnsi="Times New Roman" w:cs="Times New Roman"/>
                <w:sz w:val="24"/>
                <w:szCs w:val="24"/>
              </w:rPr>
              <w:t> và </w:t>
            </w:r>
            <w:bookmarkStart w:id="35" w:name="bieumau_ms_14"/>
            <w:r w:rsidRPr="00E00BCF">
              <w:rPr>
                <w:rFonts w:ascii="Times New Roman" w:eastAsia="Times New Roman" w:hAnsi="Times New Roman" w:cs="Times New Roman"/>
                <w:sz w:val="24"/>
                <w:szCs w:val="24"/>
              </w:rPr>
              <w:t>Mẫu 14</w:t>
            </w:r>
            <w:bookmarkEnd w:id="35"/>
            <w:r w:rsidRPr="00E00BCF">
              <w:rPr>
                <w:rFonts w:ascii="Times New Roman" w:eastAsia="Times New Roman" w:hAnsi="Times New Roman" w:cs="Times New Roman"/>
                <w:sz w:val="24"/>
                <w:szCs w:val="24"/>
              </w:rPr>
              <w:t> tại Phụ lục kèm theo Nghị định này cho Ủy ban nhân dân cấp huyện hoặc nộp cho Ủy ban nhân dân cấp xã. Ủy ban nhân dân cấp xã có trách nhiệm nộp tờ khai cho Ủy ban nhân dân cấp huyện. Trường hợp chưa có công trình khai thác nước dưới đất, tổ chức, cá nhân phải thực hiện việc đăng ký trước khi xây dựng công trình;</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Trong thời hạn 14 ngày kể từ ngày nhận được tờ khai của tổ chức, cá nhân, Ủy ban nhân dân cấp huyện có trách nhiệm kiểm tra nội dung thông tin, xác nhận vào tờ khai và gửi 01 bản cho tổ chức, cá nhân;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Trường hợp tổ chức, cá nhân đã đăng ký khai thác nước dưới đất, nếu không tiếp tục khai thác, sử dụng thì phải thông báo và trả tờ khai (đã được xác nhận) cho Ủy ban nhân dân cấp huyện hoặc Ủy ban nhân dân cấp xã để báo cho Ủy ban nhân dân cấp huyện và thực hiện việc trám, lấp giếng không sử dụng theo quy định.</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Trường hợp tổ chức, cá nhân đã được cơ quan nhà nước có thẩm quyền xác nhận đăng ký có nhu cầu điều chỉnh nội dung của tờ khai đăng ký thì thực hiện thủ tục đăng ký mới.</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3 Điều 57</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Chỉ đạo cơ quan chuyên môn phối hợp với Ủy ban nhân dân cấp huyện, Ủy ban nhân dân cấp xã tổ chức việc thực hiện phổ biến, tuyên truyền, hướng dẫn việc kê khai trên ứng dụng kê khai, đăng ký khai thác, sử dụng tài nguyên nước thuộc địa bàn nhằm đảm bảo thực thi hiệu quả, nâng cao nhận thức về bảo vệ tài nguyên nước, khai thác, sử dụng nước tiết kiệm, hiệu quả;</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4 Điều 57</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Trách nhiệm của Ủy ban nhân dân cấp huyện và Ủy ban nhân dân cấp xã:</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Đôn đốc các tổ chức, cá nhân trên địa bàn tuân thủ các quy định của Nghị định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Ủy ban nhân dân cấp xã nơi có công trình rà soát và tiếp nhận thông tin trên ứng dụng đối với thủ tục kê khai nước dưới đất;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Hằng năm, Ủy ban nhân dân cấp xã thực hiện rà soát, lập danh sách tổ chức, cá nhân có công trình khai thác nước dưới đất, công trình khai thác, sử dụng nước mặt, nước biển, sử dụng mặt nước, đào hồ, ao, sông, suối, kênh, mương, rạch thuộc diện phải kê khai, đăng ký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Tổ chức cập nhật số liệu đăng ký khai thác nước dưới đất trên địa bàn vào Hệ thống thông tin, cơ sở dữ liệu tài nguyên nước quốc gia;</w:t>
            </w:r>
          </w:p>
          <w:p w:rsidR="00E00BCF" w:rsidRPr="00E00BCF" w:rsidRDefault="00E00BCF" w:rsidP="00814E4D">
            <w:pPr>
              <w:shd w:val="clear" w:color="auto" w:fill="FFFFFF"/>
              <w:jc w:val="both"/>
              <w:rPr>
                <w:rFonts w:ascii="Times New Roman" w:hAnsi="Times New Roman" w:cs="Times New Roman"/>
                <w:bCs/>
                <w:sz w:val="24"/>
                <w:szCs w:val="24"/>
              </w:rPr>
            </w:pPr>
            <w:r w:rsidRPr="00E00BCF">
              <w:rPr>
                <w:rFonts w:ascii="Times New Roman" w:eastAsia="Times New Roman" w:hAnsi="Times New Roman" w:cs="Times New Roman"/>
                <w:sz w:val="24"/>
                <w:szCs w:val="24"/>
              </w:rPr>
              <w:t>đ) Thực hiện các trách nhiệm khác theo quy định của Nghị định này.</w:t>
            </w:r>
          </w:p>
        </w:tc>
      </w:tr>
      <w:tr w:rsidR="00E00BCF" w:rsidRPr="00E00BCF" w:rsidTr="00091924">
        <w:trPr>
          <w:trHeight w:val="714"/>
          <w:jc w:val="center"/>
        </w:trPr>
        <w:tc>
          <w:tcPr>
            <w:tcW w:w="846" w:type="dxa"/>
            <w:shd w:val="clear" w:color="auto" w:fill="auto"/>
            <w:vAlign w:val="center"/>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BẢO VỆ MÔI TRƯỜNG</w:t>
            </w:r>
          </w:p>
        </w:tc>
      </w:tr>
      <w:tr w:rsidR="00E00BCF" w:rsidRPr="00E00BCF" w:rsidTr="00091924">
        <w:trPr>
          <w:trHeight w:val="417"/>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Bảo vệ môi trường</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36</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Trừ dự án đầu tư liên quan đến bí mật nhà nước, cơ quan thẩm định gửi quyết định phê duyệt kết quả thẩm định báo cáo đánh giá tác động môi trường cho chủ dự án đầu tư và cơ quan có liên quan theo quy định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 xml:space="preserve">a) Bộ Tài nguyên và Môi trường gửi đến Ủy ban nhân dân cấp tỉnh nơi thực hiện dự án đầu tư và cơ quan khác theo quy định của pháp luật có liên quan. Ủy ban nhân dân cấp tỉnh gửi đến cơ quan chuyên môn về bảo vệ môi trường cấp tỉnh, Ủy ban nhân dân cấp huyện, Ủy ban nhân dân </w:t>
            </w:r>
            <w:r w:rsidRPr="00E00BCF">
              <w:rPr>
                <w:rFonts w:ascii="Times New Roman" w:eastAsia="Times New Roman" w:hAnsi="Times New Roman" w:cs="Times New Roman"/>
                <w:sz w:val="24"/>
                <w:szCs w:val="24"/>
              </w:rPr>
              <w:lastRenderedPageBreak/>
              <w:t>cấp xã nơi thực hiện dự án đầu tư và Ban quản lý khu công nghiệp, khu chế xuất, khu công nghệ cao, khu kinh tế của tỉnh, thành phố trực thuộc Trung ương đối với dự án đầu tư thực hiện trong khu sản xuất, kinh doanh, dịch vụ tập trung;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Ủy ban nhân dân cấp tỉnh gửi đến Bộ Tài nguyên và Môi trường, cơ quan chuyên môn về bảo vệ môi trường cấp tỉnh, Ủy ban nhân dân cấp huyện, Ủy ban </w:t>
            </w:r>
            <w:r w:rsidRPr="00E00BCF">
              <w:rPr>
                <w:rFonts w:ascii="Times New Roman" w:eastAsia="Times New Roman" w:hAnsi="Times New Roman" w:cs="Times New Roman"/>
                <w:spacing w:val="-2"/>
                <w:sz w:val="24"/>
                <w:szCs w:val="24"/>
              </w:rPr>
              <w:t>nhân dân cấp xã nơi thực hiện dự án đầu tư và Ban quản lý khu công nghiệp, khu chế xuất, khu công nghệ cao, khu kinh tế của tỉnh, thành phố trực thuộc Trung ương</w:t>
            </w:r>
            <w:r w:rsidRPr="00E00BCF">
              <w:rPr>
                <w:rFonts w:ascii="Times New Roman" w:eastAsia="Times New Roman" w:hAnsi="Times New Roman" w:cs="Times New Roman"/>
                <w:sz w:val="24"/>
                <w:szCs w:val="24"/>
              </w:rPr>
              <w:t> đối với dự án đầu tư thực hiện trong khu sản xuất, kinh doanh, dịch vụ tập trung.</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45</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Hội đồng nhân dân cấp tỉnh quy định chế độ thu, nộp, quản lý và sử dụng phí thẩm định cấp, cấp lại, điều chỉnh giấy phép môi trường thuộc thẩm quyền cấp giấy phép môi trường của Ủy ban nhân dân cấp tỉnh và Ủy ban nhân dân cấp huyện theo quy định của pháp luật.</w:t>
            </w:r>
          </w:p>
        </w:tc>
      </w:tr>
      <w:tr w:rsidR="00E00BCF" w:rsidRPr="00E00BCF" w:rsidTr="00091924">
        <w:trPr>
          <w:trHeight w:val="556"/>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l khoản 3 Điều 52</w:t>
            </w:r>
          </w:p>
          <w:p w:rsidR="00E00BCF" w:rsidRPr="00E00BCF" w:rsidRDefault="00E00BCF" w:rsidP="00814E4D">
            <w:pPr>
              <w:jc w:val="both"/>
              <w:rPr>
                <w:rFonts w:ascii="Times New Roman" w:hAnsi="Times New Roman" w:cs="Times New Roman"/>
                <w:bCs/>
                <w:sz w:val="24"/>
                <w:szCs w:val="24"/>
              </w:rPr>
            </w:pPr>
            <w:bookmarkStart w:id="36" w:name="diem_l_3_52"/>
            <w:r w:rsidRPr="00E00BCF">
              <w:rPr>
                <w:rFonts w:ascii="Times New Roman" w:hAnsi="Times New Roman" w:cs="Times New Roman"/>
                <w:sz w:val="24"/>
                <w:szCs w:val="24"/>
                <w:shd w:val="clear" w:color="auto" w:fill="FFFFFF"/>
              </w:rPr>
              <w:t>l) L</w:t>
            </w:r>
            <w:bookmarkEnd w:id="36"/>
            <w:r w:rsidRPr="00E00BCF">
              <w:rPr>
                <w:rFonts w:ascii="Times New Roman" w:hAnsi="Times New Roman" w:cs="Times New Roman"/>
                <w:sz w:val="24"/>
                <w:szCs w:val="24"/>
                <w:shd w:val="clear" w:color="auto" w:fill="FFFFFF"/>
                <w:lang w:val="nl-NL"/>
              </w:rPr>
              <w:t>ập báo cáo công tác bảo vệ môi trường của cụm công nghiệp gửi cơ quan chuyên môn về bảo vệ môi trường cấp tỉnh, cơ quan cấp giấy phép môi trường và Ủy ban nhân dân cấp huyện theo quy định của pháp luật;</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6 Điều 52</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a) Chỉ đạo cơ quan chuyên môn, Ủy ban nhân dân cấp huyện, Ủy ban nhân dân cấp xã thực hiện quy định của pháp luật về bảo vệ môi trường cụm công nghiệp;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5 Điều 56</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nl-NL"/>
              </w:rPr>
              <w:t>5. Ủy ban nhân dân cấp huyện có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nl-NL"/>
              </w:rPr>
              <w:t>a) Tổng hợp nhu cầu ngân sách cho hoạt động bảo vệ môi trường làng nghề;</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nl-NL"/>
              </w:rPr>
              <w:t>b) Chỉ đạo, triển khai thực hiện các mô hình bảo vệ môi trường làng nghề; đầu tư xây dựng và tổ chức vận hành các mô hình thu gom, xử lý chất thải rắn, hệ thống xử lý nước thải tại chỗ đáp ứng yêu cầu về bảo vệ môi trường do </w:t>
            </w:r>
            <w:r w:rsidRPr="00E00BCF">
              <w:rPr>
                <w:rFonts w:ascii="Times New Roman" w:eastAsia="Times New Roman" w:hAnsi="Times New Roman" w:cs="Times New Roman"/>
                <w:sz w:val="24"/>
                <w:szCs w:val="24"/>
              </w:rPr>
              <w:t>N</w:t>
            </w:r>
            <w:r w:rsidRPr="00E00BCF">
              <w:rPr>
                <w:rFonts w:ascii="Times New Roman" w:eastAsia="Times New Roman" w:hAnsi="Times New Roman" w:cs="Times New Roman"/>
                <w:sz w:val="24"/>
                <w:szCs w:val="24"/>
                <w:lang w:val="nl-NL"/>
              </w:rPr>
              <w:t>hà nước đầu tư từ nguồn kinh phí đầu tư xây dựng, nguồn chi sự nghiệp môi trường và khoản đóng góp của tổ chức, cá nhân theo quy định của pháp luật.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2 Điều 58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Ủy ban nhân dân cấp huyện quản lý hoạt động sản xuất, kinh doanh, dịch vụ bảo đảm tuân thủ quy định về bảo vệ môi trường theo quy hoạch được phê duyệt; quản lý công tác thu gom và xử lý chất thải quy mô cấp huyện; đầu tư, nâng cấp hệ thống thoát nước và xử lý nước thải, thu gom và xử lý chất thải rắn khu vực nông thôn; tổ chức theo dõi, đánh giá diễn biến chất lượng môi trường; khoanh vùng, xử lý, cải tạo, phục hồi và cải thiện chất lượng môi trường tại các điểm, khu vực ô nhiễm trên địa bàn nông thôn;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1 Điều 118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a) Ủy ban nhân dân cấp huyện báo cáo Hội đồng nhân dân cùng cấp và Ủy ban nhân dân cấp tỉnh trước ngày 31 tháng 01;</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2 Điều 122</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Xây dựng và chỉ đạo Ủy ban nhân dân cấp huyện, cấp xã xây dựng năng lực phòng ngừa, cảnh báo nguy cơ sự cố môi trường trên địa bàn.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shd w:val="clear" w:color="auto" w:fill="FFFFFF"/>
              <w:jc w:val="both"/>
              <w:rPr>
                <w:rFonts w:ascii="Times New Roman" w:eastAsia="Times New Roman" w:hAnsi="Times New Roman" w:cs="Times New Roman"/>
                <w:b/>
                <w:sz w:val="24"/>
                <w:szCs w:val="24"/>
              </w:rPr>
            </w:pPr>
            <w:r w:rsidRPr="00E00BCF">
              <w:rPr>
                <w:rFonts w:ascii="Times New Roman" w:eastAsia="Times New Roman" w:hAnsi="Times New Roman" w:cs="Times New Roman"/>
                <w:b/>
                <w:sz w:val="24"/>
                <w:szCs w:val="24"/>
              </w:rPr>
              <w:t>khoản 2 và điểm b, điểm c khoản 4 Điều 124</w:t>
            </w:r>
          </w:p>
          <w:p w:rsidR="00E00BCF" w:rsidRPr="00E00BCF" w:rsidRDefault="00E00BCF" w:rsidP="0027089E">
            <w:pPr>
              <w:shd w:val="clear" w:color="auto" w:fill="FFFFFF"/>
              <w:jc w:val="both"/>
              <w:rPr>
                <w:rFonts w:ascii="Times New Roman" w:eastAsia="Times New Roman" w:hAnsi="Times New Roman" w:cs="Times New Roman"/>
                <w:sz w:val="24"/>
                <w:szCs w:val="24"/>
              </w:rPr>
            </w:pPr>
            <w:bookmarkStart w:id="37" w:name="khoan_2_124"/>
            <w:r w:rsidRPr="00E00BCF">
              <w:rPr>
                <w:rFonts w:ascii="Times New Roman" w:eastAsia="Times New Roman" w:hAnsi="Times New Roman" w:cs="Times New Roman"/>
                <w:sz w:val="24"/>
                <w:szCs w:val="24"/>
              </w:rPr>
              <w:t>2. Bộ Quốc phòng chủ trì, phối hợp với các Bộ, cơ quan ngang Bộ, cơ quan thuộc Chính phủ, Ủy ban nhân dân cấp tỉnh hướng dẫn, xây dựng lực lượng và bố trí nguồn lực, trang thiết bị ứng phó sự cố môi trường cho</w:t>
            </w:r>
            <w:bookmarkEnd w:id="37"/>
            <w:r w:rsidRPr="00E00BCF">
              <w:rPr>
                <w:rFonts w:ascii="Times New Roman" w:eastAsia="Times New Roman" w:hAnsi="Times New Roman" w:cs="Times New Roman"/>
                <w:sz w:val="24"/>
                <w:szCs w:val="24"/>
              </w:rPr>
              <w:t> </w:t>
            </w:r>
            <w:bookmarkStart w:id="38" w:name="cumtu_12"/>
            <w:r w:rsidRPr="00E00BCF">
              <w:rPr>
                <w:rFonts w:ascii="Times New Roman" w:eastAsia="Times New Roman" w:hAnsi="Times New Roman" w:cs="Times New Roman"/>
                <w:sz w:val="24"/>
                <w:szCs w:val="24"/>
              </w:rPr>
              <w:t>Ủy ban quốc gia Ứng phó sự cố, thiên tai và Tìm kiếm Cứu nạn</w:t>
            </w:r>
            <w:bookmarkEnd w:id="38"/>
            <w:r w:rsidRPr="00E00BCF">
              <w:rPr>
                <w:rFonts w:ascii="Times New Roman" w:eastAsia="Times New Roman" w:hAnsi="Times New Roman" w:cs="Times New Roman"/>
                <w:sz w:val="24"/>
                <w:szCs w:val="24"/>
              </w:rPr>
              <w:t>; </w:t>
            </w:r>
            <w:bookmarkStart w:id="39" w:name="cumtu_2"/>
            <w:r w:rsidRPr="00E00BCF">
              <w:rPr>
                <w:rFonts w:ascii="Times New Roman" w:eastAsia="Times New Roman" w:hAnsi="Times New Roman" w:cs="Times New Roman"/>
                <w:sz w:val="24"/>
                <w:szCs w:val="24"/>
              </w:rPr>
              <w:t>Ban chỉ huy phòng, chống thiên tai và tìm kiếm cứu nạn</w:t>
            </w:r>
            <w:bookmarkEnd w:id="39"/>
            <w:r w:rsidRPr="00E00BCF">
              <w:rPr>
                <w:rFonts w:ascii="Times New Roman" w:eastAsia="Times New Roman" w:hAnsi="Times New Roman" w:cs="Times New Roman"/>
                <w:sz w:val="24"/>
                <w:szCs w:val="24"/>
              </w:rPr>
              <w:t> </w:t>
            </w:r>
            <w:bookmarkStart w:id="40" w:name="khoan_2_124_name"/>
            <w:r w:rsidRPr="00E00BCF">
              <w:rPr>
                <w:rFonts w:ascii="Times New Roman" w:eastAsia="Times New Roman" w:hAnsi="Times New Roman" w:cs="Times New Roman"/>
                <w:sz w:val="24"/>
                <w:szCs w:val="24"/>
              </w:rPr>
              <w:t>cấp tỉnh, cấp huyện.</w:t>
            </w:r>
            <w:bookmarkEnd w:id="40"/>
          </w:p>
          <w:p w:rsidR="00E00BCF" w:rsidRPr="00E00BCF" w:rsidRDefault="00E00BCF" w:rsidP="0027089E">
            <w:pPr>
              <w:shd w:val="clear" w:color="auto" w:fill="FFFFFF"/>
              <w:jc w:val="both"/>
              <w:rPr>
                <w:rFonts w:ascii="Times New Roman" w:eastAsia="Times New Roman" w:hAnsi="Times New Roman" w:cs="Times New Roman"/>
                <w:sz w:val="24"/>
                <w:szCs w:val="24"/>
              </w:rPr>
            </w:pP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b) </w:t>
            </w:r>
            <w:bookmarkStart w:id="41" w:name="cumtu_b_4"/>
            <w:r w:rsidRPr="00E00BCF">
              <w:rPr>
                <w:rFonts w:ascii="Times New Roman" w:eastAsia="Times New Roman" w:hAnsi="Times New Roman" w:cs="Times New Roman"/>
                <w:sz w:val="24"/>
                <w:szCs w:val="24"/>
              </w:rPr>
              <w:t>Ban chỉ huy phòng, chống thiên tai và tìm kiếm cứu nạn</w:t>
            </w:r>
            <w:bookmarkEnd w:id="41"/>
            <w:r w:rsidRPr="00E00BCF">
              <w:rPr>
                <w:rFonts w:ascii="Times New Roman" w:eastAsia="Times New Roman" w:hAnsi="Times New Roman" w:cs="Times New Roman"/>
                <w:sz w:val="24"/>
                <w:szCs w:val="24"/>
              </w:rPr>
              <w:t> cấp tỉnh ban hành và thực hiện kế hoạch ứng phó sự cố môi trường cấp tỉnh; kiểm tra việc thực hiện kế hoạch ứng phó sự cố môi trường do </w:t>
            </w:r>
            <w:bookmarkStart w:id="42" w:name="cumtu_b_4_1"/>
            <w:r w:rsidRPr="00E00BCF">
              <w:rPr>
                <w:rFonts w:ascii="Times New Roman" w:eastAsia="Times New Roman" w:hAnsi="Times New Roman" w:cs="Times New Roman"/>
                <w:sz w:val="24"/>
                <w:szCs w:val="24"/>
              </w:rPr>
              <w:t>Ban chỉ huy phòng, chống thiên tai và tìm kiếm cứu nạn</w:t>
            </w:r>
            <w:bookmarkEnd w:id="42"/>
            <w:r w:rsidRPr="00E00BCF">
              <w:rPr>
                <w:rFonts w:ascii="Times New Roman" w:eastAsia="Times New Roman" w:hAnsi="Times New Roman" w:cs="Times New Roman"/>
                <w:sz w:val="24"/>
                <w:szCs w:val="24"/>
              </w:rPr>
              <w:t> cấp huyện ban hành;</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w:t>
            </w:r>
            <w:bookmarkStart w:id="43" w:name="cumtu_5"/>
            <w:r w:rsidRPr="00E00BCF">
              <w:rPr>
                <w:rFonts w:ascii="Times New Roman" w:eastAsia="Times New Roman" w:hAnsi="Times New Roman" w:cs="Times New Roman"/>
                <w:sz w:val="24"/>
                <w:szCs w:val="24"/>
              </w:rPr>
              <w:t>Ban chỉ huy phòng, chống thiên tai và tìm kiếm cứu nạn</w:t>
            </w:r>
            <w:bookmarkEnd w:id="43"/>
            <w:r w:rsidRPr="00E00BCF">
              <w:rPr>
                <w:rFonts w:ascii="Times New Roman" w:eastAsia="Times New Roman" w:hAnsi="Times New Roman" w:cs="Times New Roman"/>
                <w:sz w:val="24"/>
                <w:szCs w:val="24"/>
              </w:rPr>
              <w:t> cấp huyện ban hành và thực hiện kế hoạch ứng phó sự cố môi trường cấp huyện;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5347ED">
            <w:pPr>
              <w:shd w:val="clear" w:color="auto" w:fill="FFFFFF"/>
              <w:jc w:val="both"/>
              <w:rPr>
                <w:rFonts w:ascii="Times New Roman" w:eastAsia="Times New Roman" w:hAnsi="Times New Roman" w:cs="Times New Roman"/>
                <w:b/>
                <w:sz w:val="24"/>
                <w:szCs w:val="24"/>
              </w:rPr>
            </w:pPr>
            <w:r w:rsidRPr="00E00BCF">
              <w:rPr>
                <w:rFonts w:ascii="Times New Roman" w:eastAsia="Times New Roman" w:hAnsi="Times New Roman" w:cs="Times New Roman"/>
                <w:b/>
                <w:sz w:val="24"/>
                <w:szCs w:val="24"/>
              </w:rPr>
              <w:t>các khoản 1, 2 và các điểm a, b khoản 4 Điều 125</w:t>
            </w:r>
          </w:p>
          <w:p w:rsidR="00E00BCF" w:rsidRPr="00E00BCF" w:rsidRDefault="00E00BCF" w:rsidP="005347E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1. Thông tin về sự cố môi trường phải được thông báo kịp thời đến </w:t>
            </w:r>
            <w:bookmarkStart w:id="44" w:name="cumtu_6"/>
            <w:r w:rsidRPr="00E00BCF">
              <w:rPr>
                <w:rFonts w:ascii="Times New Roman" w:eastAsia="Times New Roman" w:hAnsi="Times New Roman" w:cs="Times New Roman"/>
                <w:sz w:val="24"/>
                <w:szCs w:val="24"/>
              </w:rPr>
              <w:t>Ban chỉ huy phòng, chống thiên tai và tìm kiếm cứu nạn</w:t>
            </w:r>
            <w:bookmarkEnd w:id="44"/>
            <w:r w:rsidRPr="00E00BCF">
              <w:rPr>
                <w:rFonts w:ascii="Times New Roman" w:eastAsia="Times New Roman" w:hAnsi="Times New Roman" w:cs="Times New Roman"/>
                <w:sz w:val="24"/>
                <w:szCs w:val="24"/>
              </w:rPr>
              <w:t> cấp huyện và Ủy ban nhân dân cấp xã nơi xảy ra sự cố.</w:t>
            </w:r>
          </w:p>
          <w:p w:rsidR="00E00BCF" w:rsidRPr="00E00BCF" w:rsidRDefault="00E00BCF" w:rsidP="005347ED">
            <w:pPr>
              <w:shd w:val="clear" w:color="auto" w:fill="FFFFFF"/>
              <w:jc w:val="both"/>
              <w:rPr>
                <w:rFonts w:ascii="Times New Roman" w:eastAsia="Times New Roman" w:hAnsi="Times New Roman" w:cs="Times New Roman"/>
                <w:sz w:val="24"/>
                <w:szCs w:val="24"/>
              </w:rPr>
            </w:pPr>
            <w:bookmarkStart w:id="45" w:name="khoan_2_125"/>
            <w:r w:rsidRPr="00E00BCF">
              <w:rPr>
                <w:rFonts w:ascii="Times New Roman" w:eastAsia="Times New Roman" w:hAnsi="Times New Roman" w:cs="Times New Roman"/>
                <w:sz w:val="24"/>
                <w:szCs w:val="24"/>
              </w:rPr>
              <w:t>2.</w:t>
            </w:r>
            <w:bookmarkEnd w:id="45"/>
            <w:r w:rsidRPr="00E00BCF">
              <w:rPr>
                <w:rFonts w:ascii="Times New Roman" w:eastAsia="Times New Roman" w:hAnsi="Times New Roman" w:cs="Times New Roman"/>
                <w:sz w:val="24"/>
                <w:szCs w:val="24"/>
              </w:rPr>
              <w:t> </w:t>
            </w:r>
            <w:bookmarkStart w:id="46" w:name="cumtu_7"/>
            <w:r w:rsidRPr="00E00BCF">
              <w:rPr>
                <w:rFonts w:ascii="Times New Roman" w:eastAsia="Times New Roman" w:hAnsi="Times New Roman" w:cs="Times New Roman"/>
                <w:sz w:val="24"/>
                <w:szCs w:val="24"/>
              </w:rPr>
              <w:t>Ban chỉ huy phòng, chống thiên tai và tìm kiếm cứu nạn</w:t>
            </w:r>
            <w:bookmarkEnd w:id="46"/>
            <w:r w:rsidRPr="00E00BCF">
              <w:rPr>
                <w:rFonts w:ascii="Times New Roman" w:eastAsia="Times New Roman" w:hAnsi="Times New Roman" w:cs="Times New Roman"/>
                <w:sz w:val="24"/>
                <w:szCs w:val="24"/>
              </w:rPr>
              <w:t> </w:t>
            </w:r>
            <w:bookmarkStart w:id="47" w:name="khoan_2_125_name"/>
            <w:r w:rsidRPr="00E00BCF">
              <w:rPr>
                <w:rFonts w:ascii="Times New Roman" w:eastAsia="Times New Roman" w:hAnsi="Times New Roman" w:cs="Times New Roman"/>
                <w:sz w:val="24"/>
                <w:szCs w:val="24"/>
              </w:rPr>
              <w:t>cấp huyện phối hợp với Ủy ban nhân dân cấp xã nơi xảy ra sự cố trực tiếp xác minh, tổ chức ứng phó sự cố kịp thời và báo cáo Ủy ban nhân dân cấp huyện để công bố sự cố môi trường hoặc thông báo cấp có thẩm quyền để tổ chức ứng phó theo phân cấp quy định tại</w:t>
            </w:r>
            <w:bookmarkEnd w:id="47"/>
            <w:r w:rsidRPr="00E00BCF">
              <w:rPr>
                <w:rFonts w:ascii="Times New Roman" w:eastAsia="Times New Roman" w:hAnsi="Times New Roman" w:cs="Times New Roman"/>
                <w:sz w:val="24"/>
                <w:szCs w:val="24"/>
              </w:rPr>
              <w:t> </w:t>
            </w:r>
            <w:bookmarkStart w:id="48" w:name="tc_53"/>
            <w:r w:rsidRPr="00E00BCF">
              <w:rPr>
                <w:rFonts w:ascii="Times New Roman" w:eastAsia="Times New Roman" w:hAnsi="Times New Roman" w:cs="Times New Roman"/>
                <w:sz w:val="24"/>
                <w:szCs w:val="24"/>
              </w:rPr>
              <w:t>khoản 1 Điều 123 của Luật này</w:t>
            </w:r>
            <w:bookmarkEnd w:id="48"/>
            <w:r w:rsidRPr="00E00BCF">
              <w:rPr>
                <w:rFonts w:ascii="Times New Roman" w:eastAsia="Times New Roman" w:hAnsi="Times New Roman" w:cs="Times New Roman"/>
                <w:sz w:val="24"/>
                <w:szCs w:val="24"/>
              </w:rPr>
              <w:t>.</w:t>
            </w:r>
          </w:p>
          <w:p w:rsidR="00E00BCF" w:rsidRPr="00E00BCF" w:rsidRDefault="00E00BCF" w:rsidP="005347ED">
            <w:pPr>
              <w:shd w:val="clear" w:color="auto" w:fill="FFFFFF"/>
              <w:jc w:val="both"/>
              <w:rPr>
                <w:rFonts w:ascii="Times New Roman" w:eastAsia="Times New Roman" w:hAnsi="Times New Roman" w:cs="Times New Roman"/>
                <w:sz w:val="24"/>
                <w:szCs w:val="24"/>
              </w:rPr>
            </w:pPr>
          </w:p>
          <w:p w:rsidR="00E00BCF" w:rsidRPr="00E00BCF" w:rsidRDefault="00E00BCF" w:rsidP="005347E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Trách nhiệm ứng phó sự cố môi trường được quy định như sau:</w:t>
            </w:r>
          </w:p>
          <w:p w:rsidR="00E00BCF" w:rsidRPr="00E00BCF" w:rsidRDefault="00E00BCF" w:rsidP="005347E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Chủ dự án đầu tư, cơ sở có trách nhiệm tổ chức ứng phó sự cố môi trường trong phạm vi cơ sở; trường hợp vượt quá khả năng ứng phó, phải kịp thời báo cáo Ủy ban nhân dân cấp xã nơi xảy ra sự cố và </w:t>
            </w:r>
            <w:bookmarkStart w:id="49" w:name="cumtu_8"/>
            <w:r w:rsidRPr="00E00BCF">
              <w:rPr>
                <w:rFonts w:ascii="Times New Roman" w:eastAsia="Times New Roman" w:hAnsi="Times New Roman" w:cs="Times New Roman"/>
                <w:sz w:val="24"/>
                <w:szCs w:val="24"/>
              </w:rPr>
              <w:t>Ban chỉ huy phòng, chống thiên tai và tìm kiếm cứu nạn</w:t>
            </w:r>
            <w:bookmarkEnd w:id="49"/>
            <w:r w:rsidRPr="00E00BCF">
              <w:rPr>
                <w:rFonts w:ascii="Times New Roman" w:eastAsia="Times New Roman" w:hAnsi="Times New Roman" w:cs="Times New Roman"/>
                <w:sz w:val="24"/>
                <w:szCs w:val="24"/>
              </w:rPr>
              <w:t> cấp huyện để phối hợp ứng phó;</w:t>
            </w:r>
          </w:p>
          <w:p w:rsidR="00E00BCF" w:rsidRPr="00E00BCF" w:rsidRDefault="00E00BCF" w:rsidP="005347ED">
            <w:pPr>
              <w:shd w:val="clear" w:color="auto" w:fill="FFFFFF"/>
              <w:jc w:val="both"/>
              <w:rPr>
                <w:rFonts w:ascii="Times New Roman" w:eastAsia="Times New Roman" w:hAnsi="Times New Roman" w:cs="Times New Roman"/>
                <w:b/>
                <w:sz w:val="24"/>
                <w:szCs w:val="24"/>
              </w:rPr>
            </w:pPr>
            <w:r w:rsidRPr="00E00BCF">
              <w:rPr>
                <w:rFonts w:ascii="Times New Roman" w:eastAsia="Times New Roman" w:hAnsi="Times New Roman" w:cs="Times New Roman"/>
                <w:sz w:val="24"/>
                <w:szCs w:val="24"/>
              </w:rPr>
              <w:t>b) Chủ tịch Ủy ban nhân dân, Trưởng </w:t>
            </w:r>
            <w:bookmarkStart w:id="50" w:name="cumtu_9"/>
            <w:r w:rsidRPr="00E00BCF">
              <w:rPr>
                <w:rFonts w:ascii="Times New Roman" w:eastAsia="Times New Roman" w:hAnsi="Times New Roman" w:cs="Times New Roman"/>
                <w:sz w:val="24"/>
                <w:szCs w:val="24"/>
              </w:rPr>
              <w:t>Ban chỉ huy phòng, chống thiên tai và tìm kiếm cứu nạn</w:t>
            </w:r>
            <w:bookmarkEnd w:id="50"/>
            <w:r w:rsidRPr="00E00BCF">
              <w:rPr>
                <w:rFonts w:ascii="Times New Roman" w:eastAsia="Times New Roman" w:hAnsi="Times New Roman" w:cs="Times New Roman"/>
                <w:sz w:val="24"/>
                <w:szCs w:val="24"/>
              </w:rPr>
              <w:t> cấp huyện chỉ đạo ứng phó sự cố, huy động lực lượng, thiết bị, phương tiện ứng phó sự cố, chỉ định người chỉ huy và người phát ngôn về sự cố môi trường cấp huyện xảy ra trên địa bàn;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2 Điều 126</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a) Ủy ban nhân dân cấp huyện tổ chức khảo sát, đánh giá hiện trạng môi trường, xây dựng, phê duyệt và chỉ đạo tổ chức thực hiện kế hoạch phục hồi môi trường đối với sự cố môi trường cấp huyện; trong thời hạn 30 ngày kể từ ngày công bố kết thúc giai đoạn tổ chức ứng phó sự cố môi trường, Ủy ban nhân dân cấp huyện phải phê duyệt kế hoạch phục hồi môi trường;</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shd w:val="clear" w:color="auto" w:fill="FFFFFF"/>
              <w:jc w:val="both"/>
              <w:rPr>
                <w:rFonts w:ascii="Times New Roman" w:eastAsia="Times New Roman" w:hAnsi="Times New Roman" w:cs="Times New Roman"/>
                <w:b/>
                <w:sz w:val="24"/>
                <w:szCs w:val="24"/>
              </w:rPr>
            </w:pPr>
            <w:r w:rsidRPr="00E00BCF">
              <w:rPr>
                <w:rFonts w:ascii="Times New Roman" w:eastAsia="Times New Roman" w:hAnsi="Times New Roman" w:cs="Times New Roman"/>
                <w:b/>
                <w:sz w:val="24"/>
                <w:szCs w:val="24"/>
              </w:rPr>
              <w:t>khoản 2 và khoản 4 Điều 127</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Cơ quan chuyên môn thuộc Ủy ban nhân dân cấp tỉnh, cấp huyện theo chức năng, nhiệm vụ, quyền hạn được giao có trách nhiệm tham mưu cho Ủy ban nhân dân cùng cấp, </w:t>
            </w:r>
            <w:bookmarkStart w:id="51" w:name="cumtu_11"/>
            <w:r w:rsidRPr="00E00BCF">
              <w:rPr>
                <w:rFonts w:ascii="Times New Roman" w:eastAsia="Times New Roman" w:hAnsi="Times New Roman" w:cs="Times New Roman"/>
                <w:sz w:val="24"/>
                <w:szCs w:val="24"/>
              </w:rPr>
              <w:t>Ban chỉ huy phòng, chống thiên tai và tìm kiếm cứu nạn</w:t>
            </w:r>
            <w:bookmarkEnd w:id="51"/>
            <w:r w:rsidRPr="00E00BCF">
              <w:rPr>
                <w:rFonts w:ascii="Times New Roman" w:eastAsia="Times New Roman" w:hAnsi="Times New Roman" w:cs="Times New Roman"/>
                <w:sz w:val="24"/>
                <w:szCs w:val="24"/>
              </w:rPr>
              <w:t> cùng cấp xây dựng, ban hành kế hoạch ứng phó sự cố môi trường; hướng dẫn thực hiện hoạt động chuẩn bị, tổ chức ứng phó sự cố môi trường trên địa bàn.</w:t>
            </w:r>
          </w:p>
          <w:p w:rsidR="00E00BCF" w:rsidRPr="00E00BCF" w:rsidRDefault="00E00BCF" w:rsidP="0027089E">
            <w:pPr>
              <w:shd w:val="clear" w:color="auto" w:fill="FFFFFF"/>
              <w:jc w:val="both"/>
              <w:rPr>
                <w:rFonts w:ascii="Times New Roman" w:eastAsia="Times New Roman" w:hAnsi="Times New Roman" w:cs="Times New Roman"/>
                <w:sz w:val="24"/>
                <w:szCs w:val="24"/>
              </w:rPr>
            </w:pP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Cơ quan chuyên môn về bảo vệ môi trường cấp tỉnh, cấp huyện có trách nhiệm tham mưu Ủy ban nhân dân cùng cấp thực hiện phục hồi môi trường sau sự cố môi trường trên địa bàn.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2 Điều 131</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Ủy ban nhân dân cấp huyện có trách nhiệm yêu cầu bồi thường thiệt hại và tổ chức thu thập, thẩm định dữ liệu, chứng cứ để xác định thiệt hại đối với môi trường do ô nhiễm, suy thoái gây ra trên địa bàn từ 02 đơn vị hành chính cấp xã trở lên; tổ chức thu thập và thẩm định dữ liệu, chứng cứ để xác định thiệt hại đối với môi trường do ô nhiễm, suy thoái theo đề nghị của Ủy ban nhân dân cấp xã;</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đ khoản 1 Điều 160</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đ) Chủ tịch Ủy ban nhân dân cấp huyện tổ chức kiểm tra, thanh tra về bảo vệ môi trường trên địa bàn; chỉ đạo việc tham gia phối hợp kiểm tra, thanh tra về bảo vệ môi trường đối với các trường hợp quy định tại điểm d khoản này hoặc theo yêu cầu của cơ quan có thẩm quyền;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168</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cấp huyện, trong phạm vi nhiệm vụ, quyền hạn của mình, có trách nhiệm sau đây:</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Xây dựng, ban hành hoặc trình cấp có thẩm quyền ban hành văn bản quy phạm pháp luật về bảo vệ môi trường, kế hoạch, chương trình, đề án, dự án về bảo vệ môi trường của địa phương;</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pacing w:val="-6"/>
                <w:sz w:val="24"/>
                <w:szCs w:val="24"/>
              </w:rPr>
              <w:t>b) Cấp, cấp đổi, điều chỉnh, cấp lại, thu hồi giấy phép môi trường theo thẩm quyền;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Chỉ đạo, hướng dẫn, kiểm tra và tổ chức thực hiện kiểm soát nguồn ô nhiễm; phòng ngừa, ứng phó sự cố môi trường trên địa bàn theo quy định của pháp luật; tổ chức quản lý các nguồn thải trên địa bàn theo phân công, phân cấp; chịu trách nhiệm trước Ủy ban nhân dân cấp tỉnh về việc để xảy ra ô nhiễm môi trường trên địa bàn;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shd w:val="clear" w:color="auto" w:fill="FFFFFF"/>
              </w:rPr>
              <w:t>d) Tổ chức theo dõi, giám sát, cảnh báo, quản lý chất lượng môi trường và quản lý chất thải trên địa bàn theo thẩm quyền hoặc theo phân cấp của </w:t>
            </w:r>
            <w:r w:rsidRPr="00E00BCF">
              <w:rPr>
                <w:rFonts w:ascii="Times New Roman" w:eastAsia="Times New Roman" w:hAnsi="Times New Roman" w:cs="Times New Roman"/>
                <w:sz w:val="24"/>
                <w:szCs w:val="24"/>
              </w:rPr>
              <w:t>Ủy ban nhân dân cấp tỉnh</w:t>
            </w:r>
            <w:r w:rsidRPr="00E00BCF">
              <w:rPr>
                <w:rFonts w:ascii="Times New Roman" w:eastAsia="Times New Roman" w:hAnsi="Times New Roman" w:cs="Times New Roman"/>
                <w:sz w:val="24"/>
                <w:szCs w:val="24"/>
                <w:shd w:val="clear" w:color="auto" w:fill="FFFFFF"/>
              </w:rPr>
              <w:t>; </w:t>
            </w:r>
            <w:r w:rsidRPr="00E00BCF">
              <w:rPr>
                <w:rFonts w:ascii="Times New Roman" w:eastAsia="Times New Roman" w:hAnsi="Times New Roman" w:cs="Times New Roman"/>
                <w:sz w:val="24"/>
                <w:szCs w:val="24"/>
              </w:rPr>
              <w:t>cải tạo, phục hồi môi trường; bảo tồn thiên nhiên và đa dạng sinh học;</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Thanh tra, kiểm tra, xử lý vi phạm pháp luật về bảo vệ môi trường theo thẩm quyền hoặc chuyển người có thẩm quyền xử lý theo quy định của pháp luật; giải quyết khiếu nại, tố cáo, kiến nghị về bảo vệ môi trường;</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pacing w:val="-6"/>
                <w:sz w:val="24"/>
                <w:szCs w:val="24"/>
              </w:rPr>
              <w:t>e) Truyền thông, phổ biến kiến thức, tuyên truyền pháp luật về bảo vệ môi trường; giáo dục, nâng cao nhận thức, ý thức về bảo vệ môi trường trong cộng đồng;</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g) Thông tin về môi trường, báo cáo môi trường theo quy định của pháp luật;</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pacing w:val="-4"/>
                <w:sz w:val="24"/>
                <w:szCs w:val="24"/>
              </w:rPr>
              <w:t>h) </w:t>
            </w:r>
            <w:r w:rsidRPr="00E00BCF">
              <w:rPr>
                <w:rFonts w:ascii="Times New Roman" w:eastAsia="Times New Roman" w:hAnsi="Times New Roman" w:cs="Times New Roman"/>
                <w:spacing w:val="-4"/>
                <w:sz w:val="24"/>
                <w:szCs w:val="24"/>
                <w:shd w:val="clear" w:color="auto" w:fill="FFFFFF"/>
              </w:rPr>
              <w:t>Huy động và sử dụng nguồn lực cho công tác bảo vệ môi trường theo quy định của pháp luật;</w:t>
            </w:r>
            <w:r w:rsidRPr="00E00BCF">
              <w:rPr>
                <w:rFonts w:ascii="Times New Roman" w:eastAsia="Times New Roman" w:hAnsi="Times New Roman" w:cs="Times New Roman"/>
                <w:spacing w:val="-4"/>
                <w:sz w:val="24"/>
                <w:szCs w:val="24"/>
              </w:rPr>
              <w:t> trình Hội đồng nhân dân cùng cấp hoặc cấp có thẩm quyền bố trí kinh phí để thực hiện nhiệm vụ bảo vệ môi trường theo phân cấp ngân sách hiện hành;</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pacing w:val="-4"/>
                <w:sz w:val="24"/>
                <w:szCs w:val="24"/>
              </w:rPr>
              <w:t>i) Thực hiện nhiệm vụ bảo vệ môi trường khác do Ủy ban nhân dân cấp tỉnh giao.</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08/2022/NĐ-CP ngày 10 tháng 01 năm 2022 của Chính phủ quy định chi tiết một số điều của Luật Bảo vệ môi trường, đã được sửa đổi, bổ sung một số điều theo Nghị định số 05/2025/NĐ-CP ngày 06 tháng 01 năm 2025 của Chính phủ</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tabs>
                <w:tab w:val="right" w:leader="dot" w:pos="8640"/>
              </w:tabs>
              <w:jc w:val="both"/>
              <w:rPr>
                <w:rFonts w:ascii="Times New Roman" w:eastAsia="Calibri" w:hAnsi="Times New Roman" w:cs="Times New Roman"/>
                <w:b/>
                <w:spacing w:val="-4"/>
                <w:sz w:val="24"/>
                <w:szCs w:val="24"/>
              </w:rPr>
            </w:pPr>
            <w:r w:rsidRPr="00E00BCF">
              <w:rPr>
                <w:rFonts w:ascii="Times New Roman" w:eastAsia="Calibri" w:hAnsi="Times New Roman" w:cs="Times New Roman"/>
                <w:b/>
                <w:spacing w:val="-4"/>
                <w:sz w:val="24"/>
                <w:szCs w:val="24"/>
              </w:rPr>
              <w:t>khoản 2 Điều 5</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Kế hoạch quản lý chất lượng môi trường nước mặt đối với sông, hồ nội tỉnh có vai trò quan trọng với phát triển kinh tế - xã hội, bảo vệ môi trường được xây dựng chung cho toàn bộ sông, hồ nội tỉnh hoặc riêng cho từng sông, hồ nội tỉnh và theo quy định sau:</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Cơ quan chuyên môn về bảo vệ môi trường cấp tỉnh chủ trì, phối hợp với các sở, ban, ngành, Ủy ban nhân dân cấp huyện có liên quan lập, phê duyệt và thực hiện đề án điều tra, đánh giá, xây dựng dự thảo kế hoạch quản lý chất lượng môi trường nước mặt sông, hồ nội tỉnh;</w:t>
            </w:r>
          </w:p>
          <w:p w:rsidR="00E00BCF" w:rsidRPr="00E00BCF" w:rsidRDefault="00E00BCF" w:rsidP="00EC1DB4">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Cơ quan chuyên môn về bảo vệ môi trường cấp tỉnh gửi dự thảo kế hoạch quản lý chất lượng môi trường nước mặt sông, hồ nội tỉnh đến các Ủy ban nhân dân cấp huyện, các sở, ban, ngành liên quan và cơ quan chuyên môn về bảo vệ môi trường cấp tỉnh của các tỉnh, thành phố trực thuộc trung ương giáp ranh để lấy ý kiến bằng văn bản; nghiên cứu, tiếp thu, giải trình các ý kiến góp ý, hoàn thiện dự thảo kế hoạch, trình Ủy ban nhân dân cấp tỉnh xem xét, ban hành. Hồ sơ trình Ủy ban nhân dân cấp tỉnh bao gồm: tờ trình; dự thảo kế hoạch; dự thảo quyết định ban hành kế hoạch; báo cáo giải trình, tiếp thu các ý kiến góp ý; văn bản góp ý của các cơ quan có liên quan.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khoản 1 Điều 9</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1. Kế hoạch quản lý chất lượng môi trường không khí cấp tỉnh được ban hành theo quy định sau:</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Cơ quan chuyên môn về bảo vệ môi trường cấp tỉnh chủ trì, phối hợp với các sở, ban, ngành, Ủy ban nhân dân cấp huyện có liên quan lập, phê duyệt và thực hiện đề án điều tra, đánh giá, xây dựng dự thảo kế hoạch quản lý chất lượng môi trường không khí cấp tỉnh;</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b) Cơ quan chuyên môn về bảo vệ môi trường cấp tỉnh gửi dự thảo kế hoạch quản lý chất lượng môi trường không khí cấp tỉnh đến các sở, ban, ngành, Ủy ban nhân dân cấp huyện có liên quan và cơ quan chuyên môn về bảo vệ môi trường cấp tỉnh của các tỉnh, thành phố trực thuộc trung ương giáp ranh trong trường hợp cần thiết để lấy ý kiến góp ý bằng văn bản; nghiên cứu, tiếp thu, giải trình các ý kiến góp ý, hoàn thiện dự thảo kế hoạch, trình Ủy ban nhân dân cấp tỉnh xem xét, ban hành.</w:t>
            </w:r>
          </w:p>
          <w:p w:rsidR="00E00BCF" w:rsidRPr="00E00BCF" w:rsidRDefault="00E00BCF" w:rsidP="00EC1DB4">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Hồ sơ trình ban hành kế hoạch quản lý chất lượng môi trường không khí cấp tỉnh bao gồm: tờ trình; dự thảo kế hoạch; dự thảo quyết định ban hành kế hoạch; báo cáo tổng hợp, giải trình tiếp thu hoàn thiện dự thảo kế hoạch; văn bản góp ý của các cơ quan có liên quan.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điểm a khoản 5 Điều 19</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Đối với di sản thiên nhiên cấp tỉnh theo quy định tại </w:t>
            </w:r>
            <w:bookmarkStart w:id="52" w:name="tc_12"/>
            <w:r w:rsidRPr="00E00BCF">
              <w:rPr>
                <w:rFonts w:ascii="Times New Roman" w:eastAsia="Times New Roman" w:hAnsi="Times New Roman" w:cs="Times New Roman"/>
                <w:sz w:val="24"/>
                <w:szCs w:val="24"/>
              </w:rPr>
              <w:t>điểm a khoản 4 Điều 21 Nghị định này</w:t>
            </w:r>
            <w:bookmarkEnd w:id="52"/>
            <w:r w:rsidRPr="00E00BCF">
              <w:rPr>
                <w:rFonts w:ascii="Times New Roman" w:eastAsia="Times New Roman" w:hAnsi="Times New Roman" w:cs="Times New Roman"/>
                <w:sz w:val="24"/>
                <w:szCs w:val="24"/>
              </w:rPr>
              <w: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Ủy ban nhân dân cấp tỉnh tổ chức xây dựng dự án xác lập, tổ chức thẩm định và công nhận di sản thiên nhiên cấp tỉnh trên địa bàn quản lý; khuyến khích các tổ chức, cá nhân, cộng đồng đề xuất xác lập di sản thiên nhiên theo quy định tại điểm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Chủ tịch Ủy ban nhân dân cấp tỉnh thành lập Hội đồng thẩm định dự án xác lập di sản thiên nhiên cấp tỉnh gồm đại diện Ủy ban nhân dân cấp tỉnh, các sở, ban, ngành có liên quan, Ủy ban nhân dân cấp huyện có ranh giới thuộc di sản thiên nhiên và các chuyên gia, nhà khoa học thuộc các lĩnh vực có liên quan;</w:t>
            </w:r>
          </w:p>
        </w:tc>
      </w:tr>
      <w:tr w:rsidR="00E00BCF" w:rsidRPr="00E00BCF" w:rsidTr="00091924">
        <w:trPr>
          <w:jc w:val="center"/>
        </w:trPr>
        <w:tc>
          <w:tcPr>
            <w:tcW w:w="846" w:type="dxa"/>
            <w:shd w:val="clear" w:color="auto" w:fill="auto"/>
          </w:tcPr>
          <w:p w:rsidR="00E00BCF" w:rsidRPr="00091924" w:rsidRDefault="00E00BCF" w:rsidP="00A14F4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A14F4E">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 xml:space="preserve">điểm e khoản 4 Điều 26 (đã được sửa đổi tại khoản 8 Điều 1 Nghị định số 05/2025/NĐ-CP) </w:t>
            </w:r>
          </w:p>
          <w:p w:rsidR="00E00BCF" w:rsidRPr="00E00BCF" w:rsidRDefault="00E00BCF" w:rsidP="00A14F4E">
            <w:pPr>
              <w:tabs>
                <w:tab w:val="right" w:leader="dot" w:pos="8640"/>
              </w:tabs>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e) Đối với dự án xây dựng kết cấu hạ tầng giao thông, hạ tầng viễn thông, tuyến đường dây tải điện, cấp, thoát nước và cải tạo, tu bổ kênh mương liên tỉnh, liên huyện, chủ dự án đầu tư chỉ thực hiện tham vấn theo quy định tại điểm a khoản 3 Điều này và tham vấn bằng văn bản đối với Ủy ban nhân dân cấp tỉnh nếu dự án nằm trên địa bàn từ hai đơn vị hành chính cấp tỉnh trở lên hoặc Ủy ban nhân dân cấp huyện nếu dự án nằm trên địa bàn từ hai đơn vị hành chính cấp huyện trở lên;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khoản 4 Điều 49</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Ủy ban nhân dân cấp huyện có trách nhiệm thực hiện các quy định tại khoản 5 Điều 52 Luật Bảo vệ môi trường và có trách nhiệm khác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Hướng dẫn, kiểm tra chủ đầu tư kinh doanh hạ tầng cụm công nghiệp, chủ cơ sở trong cụm công nghiệp thực hiện các trách nhiệm quy định tại khoản 1 và khoản 2 Điều này;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Trong quá trình tiếp nhận, giải quyết hoặc phối hợp xử lý thủ tục đầu tư, đề nghị cơ quan có thẩm quyền xem xét các dự án mới hoặc dự án đang hoạt động nâng công suất có phát sinh nước thải trong khu sản xuất, kinh doanh, dịch vụ tập trung, cụm công nghiệp phải phù hợp với các yêu cầu về hạ tầng bảo vệ môi trường được quy định tại </w:t>
            </w:r>
            <w:bookmarkStart w:id="53" w:name="tc_55"/>
            <w:r w:rsidRPr="00E00BCF">
              <w:rPr>
                <w:rFonts w:ascii="Times New Roman" w:eastAsia="Times New Roman" w:hAnsi="Times New Roman" w:cs="Times New Roman"/>
                <w:sz w:val="24"/>
                <w:szCs w:val="24"/>
              </w:rPr>
              <w:t>Điều 48 Nghị định này</w:t>
            </w:r>
            <w:bookmarkEnd w:id="53"/>
            <w:r w:rsidRPr="00E00BCF">
              <w:rPr>
                <w:rFonts w:ascii="Times New Roman" w:eastAsia="Times New Roman" w:hAnsi="Times New Roman" w:cs="Times New Roman"/>
                <w:sz w:val="24"/>
                <w:szCs w:val="24"/>
              </w:rPr>
              <w:t>.</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khoản 2 Điều 63 (đã được sửa đổi, bổ sung tại khoản 27 Điều 1 Nghị định số 05/2025/NĐ-CP)</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eastAsia="Calibri" w:hAnsi="Times New Roman" w:cs="Times New Roman"/>
                <w:sz w:val="24"/>
                <w:szCs w:val="24"/>
              </w:rPr>
              <w:t>2.[64] Ủy ban nhân dân cấp huyện có trách nhiệm sau:</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eastAsia="Calibri" w:hAnsi="Times New Roman" w:cs="Times New Roman"/>
                <w:sz w:val="24"/>
                <w:szCs w:val="24"/>
              </w:rPr>
              <w:t>a) Ban hành theo thẩm quyền quy định, chương trình, kế hoạch về quản lý chất thải rắn sinh hoạt;</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eastAsia="Calibri" w:hAnsi="Times New Roman" w:cs="Times New Roman"/>
                <w:sz w:val="24"/>
                <w:szCs w:val="24"/>
              </w:rPr>
              <w:t>b) Tổ chức thực hiện chiến lược, chương trình, kế hoạch và nhiệm vụ về quản lý chất thải rắn sinh hoạt;</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eastAsia="Calibri" w:hAnsi="Times New Roman" w:cs="Times New Roman"/>
                <w:sz w:val="24"/>
                <w:szCs w:val="24"/>
              </w:rPr>
              <w:t>c) Tổ chức triển khai hoạt động phân loại chất thải rắn sinh hoạt theo quy định;</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eastAsia="Calibri" w:hAnsi="Times New Roman" w:cs="Times New Roman"/>
                <w:sz w:val="24"/>
                <w:szCs w:val="24"/>
              </w:rPr>
              <w:t>d) Thực hiện trách nhiệm quy định tại khoản 1 Điều 77 Luật Bảo vệ môi trường;</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eastAsia="Calibri" w:hAnsi="Times New Roman" w:cs="Times New Roman"/>
                <w:sz w:val="24"/>
                <w:szCs w:val="24"/>
              </w:rPr>
              <w:t>đ) Thực hiện trách nhiệm khác theo phân công của Ủy ban nhân dân cấp tỉnh.</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eastAsia="Calibri" w:hAnsi="Times New Roman" w:cs="Times New Roman"/>
                <w:b/>
                <w:sz w:val="24"/>
                <w:szCs w:val="24"/>
                <w:lang w:val="vi-VN"/>
              </w:rPr>
            </w:pPr>
            <w:r w:rsidRPr="00E00BCF">
              <w:rPr>
                <w:rFonts w:ascii="Times New Roman" w:eastAsia="Calibri" w:hAnsi="Times New Roman" w:cs="Times New Roman"/>
                <w:b/>
                <w:sz w:val="24"/>
                <w:szCs w:val="24"/>
              </w:rPr>
              <w:t xml:space="preserve">khoản 2 Điều </w:t>
            </w:r>
            <w:r w:rsidRPr="00E00BCF">
              <w:rPr>
                <w:rFonts w:ascii="Times New Roman" w:eastAsia="Calibri" w:hAnsi="Times New Roman" w:cs="Times New Roman"/>
                <w:b/>
                <w:sz w:val="24"/>
                <w:szCs w:val="24"/>
                <w:lang w:val="vi-VN"/>
              </w:rPr>
              <w:t>110</w:t>
            </w:r>
          </w:p>
          <w:p w:rsidR="00E00BCF" w:rsidRPr="00E00BCF" w:rsidRDefault="00E00BCF" w:rsidP="0027089E">
            <w:pPr>
              <w:jc w:val="both"/>
              <w:rPr>
                <w:rFonts w:ascii="Times New Roman" w:hAnsi="Times New Roman" w:cs="Times New Roman"/>
                <w:bCs/>
                <w:sz w:val="24"/>
                <w:szCs w:val="24"/>
                <w:lang w:val="vi-VN"/>
              </w:rPr>
            </w:pPr>
            <w:r w:rsidRPr="00E00BCF">
              <w:rPr>
                <w:rFonts w:ascii="Times New Roman" w:hAnsi="Times New Roman" w:cs="Times New Roman"/>
                <w:sz w:val="24"/>
                <w:szCs w:val="24"/>
                <w:shd w:val="clear" w:color="auto" w:fill="FFFFFF"/>
              </w:rPr>
              <w:lastRenderedPageBreak/>
              <w:t>2. Ủy ban nhân dân cấp tỉnh, cấp huyện có trách nhiệm công khai kế hoạch ứng phó sự cố môi trường cấp tỉnh, cấp huyện trên Cổng thông tin điện tử của tỉnh, huyện; gửi cho cơ quan trên địa bàn và cấp trên trực tiếp.</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khoản 3 Điều 110</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eastAsia="Calibri" w:hAnsi="Times New Roman" w:cs="Times New Roman"/>
                <w:sz w:val="24"/>
                <w:szCs w:val="24"/>
              </w:rPr>
              <w:t>3. Chủ dự án đầu tư, cơ sở có trách nhiệm công khai kế hoạch ứng phó sự cố môi trường của cơ sở; gửi kế hoạch ứng phó sự cố môi trường tới Ủy ban nhân dân cấp xã và Ban chỉ huy Phòng, chống thiên tai và Tìm kiếm cứu nạn cấp huyện.</w:t>
            </w:r>
          </w:p>
          <w:p w:rsidR="00E00BCF" w:rsidRPr="00E00BCF" w:rsidRDefault="00E00BCF" w:rsidP="0027089E">
            <w:pPr>
              <w:jc w:val="both"/>
              <w:rPr>
                <w:rFonts w:ascii="Times New Roman" w:hAnsi="Times New Roman" w:cs="Times New Roman"/>
                <w:bCs/>
                <w:sz w:val="24"/>
                <w:szCs w:val="24"/>
              </w:rPr>
            </w:pPr>
            <w:r w:rsidRPr="00E00BCF">
              <w:rPr>
                <w:rFonts w:ascii="Times New Roman" w:eastAsia="Calibri" w:hAnsi="Times New Roman" w:cs="Times New Roman"/>
                <w:sz w:val="24"/>
                <w:szCs w:val="24"/>
              </w:rPr>
              <w:t>Chủ dự án đầu tư, cơ sở có trách nhiệm cung cấp nội dung kế hoạch cho Ban quản lý khu công nghiệp, khu chế xuất, khu kinh tế, khu công nghệ cao trong trường hợp dự án, cơ sở nằm trong khu công nghiệp, khu chế xuất, khu kinh tế, khu công nghệ cao.</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 xml:space="preserve">khoản 2 Điều 113 </w:t>
            </w:r>
          </w:p>
          <w:p w:rsidR="00E00BCF" w:rsidRPr="00E00BCF" w:rsidRDefault="00E00BCF" w:rsidP="0027089E">
            <w:pPr>
              <w:tabs>
                <w:tab w:val="right" w:leader="dot" w:pos="8640"/>
              </w:tabs>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2. Kiểm tra, xác minh thông tin, lập biên bản về các dấu hiệu môi trường bị ô nhiễm, suy thoái. Biên bản phải có xác nhận của cán bộ xác minh, đại diện của dân cư nơi xảy ra ô nhiễm, suy thoái, đại diện Ủy ban nhân dân cấp xã trong trường hợp cơ quan giải quyết là Ủy ban nhân dân cấp huyện trở lên.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điểm d khoản 2 Điều 114</w:t>
            </w:r>
          </w:p>
          <w:p w:rsidR="00E00BCF" w:rsidRPr="00E00BCF" w:rsidRDefault="00E00BCF" w:rsidP="00814E4D">
            <w:pPr>
              <w:tabs>
                <w:tab w:val="right" w:leader="dot" w:pos="8640"/>
              </w:tabs>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d) Hội đồng do Ủy ban nhân dân cấp tỉnh thành lập phải có đại diện của cơ quan chuyên môn về bảo vệ môi trường cấp huyện nơi xảy ra ô nhiễm, suy thoái; có đại diện của Ban quản lý khu kinh tế, khu công nghiệp, khu chế xuất, khu công nghệ cao nơi xảy ra ô nhiễm, suy thoái trong trường hợp cần thiết;</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điểm đ khoản 2 Điều 114</w:t>
            </w:r>
          </w:p>
          <w:p w:rsidR="00E00BCF" w:rsidRPr="00E00BCF" w:rsidRDefault="00E00BCF" w:rsidP="0027089E">
            <w:pPr>
              <w:tabs>
                <w:tab w:val="right" w:leader="dot" w:pos="8640"/>
              </w:tabs>
              <w:jc w:val="both"/>
              <w:rPr>
                <w:rFonts w:ascii="Times New Roman" w:eastAsia="Calibri" w:hAnsi="Times New Roman" w:cs="Times New Roman"/>
                <w:sz w:val="24"/>
                <w:szCs w:val="24"/>
              </w:rPr>
            </w:pPr>
            <w:r w:rsidRPr="00E00BCF">
              <w:rPr>
                <w:rFonts w:ascii="Times New Roman" w:hAnsi="Times New Roman" w:cs="Times New Roman"/>
                <w:sz w:val="24"/>
                <w:szCs w:val="24"/>
                <w:shd w:val="clear" w:color="auto" w:fill="FFFFFF"/>
              </w:rPr>
              <w:t>đ) Hội đồng do Ủy ban nhân dân cấp huyện thành lập phải có đại diện của Ủy ban nhân dân cấp xã nơi xảy ra ô nhiễm, suy thoái; có đại diện của Ban quản lý khu kinh tế, khu công nghiệp, khu chế xuất, khu công nghệ cao nơi xảy ra ô nhiễm, suy thoái trong trường hợp cần thiết).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điểm e và điểm g khoản 2 Điều 163</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Chủ tịch Ủy ban nhân dân cấp tỉnh, cấp huyện thành lập đoàn kiểm tra đột xuất không báo trước theo quy định tại điểm a khoản 3 Điều 160 Luật Bảo vệ môi trường;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g) Thủ trưởng cơ quan có chức năng kiểm tra việc chấp hành pháp luật về bảo vệ môi trường của Ủy ban nhân dân cấp tỉnh, cấp huyện thành lập đoàn kiểm tra việc chấp hành pháp luật về bảo vệ môi trường trên địa bàn, trừ trường hợp quy định tại điểm e khoản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điểm a khoản 3 Điều 164</w:t>
            </w:r>
          </w:p>
          <w:p w:rsidR="00E00BCF" w:rsidRPr="00E00BCF" w:rsidRDefault="00E00BCF" w:rsidP="00814E4D">
            <w:pPr>
              <w:tabs>
                <w:tab w:val="right" w:leader="dot" w:pos="8640"/>
              </w:tabs>
              <w:jc w:val="both"/>
              <w:rPr>
                <w:rFonts w:ascii="Times New Roman" w:eastAsia="Calibri" w:hAnsi="Times New Roman" w:cs="Times New Roman"/>
                <w:spacing w:val="-4"/>
                <w:sz w:val="24"/>
                <w:szCs w:val="24"/>
              </w:rPr>
            </w:pPr>
            <w:r w:rsidRPr="00E00BCF">
              <w:rPr>
                <w:rFonts w:ascii="Times New Roman" w:hAnsi="Times New Roman" w:cs="Times New Roman"/>
                <w:sz w:val="24"/>
                <w:szCs w:val="24"/>
                <w:shd w:val="clear" w:color="auto" w:fill="FFFFFF"/>
              </w:rPr>
              <w:t>a) Chỉ đạo lực đơn vị Công an nhân dân có chức năng, nhiệm vụ phòng, chống tội phạm về môi trường</w:t>
            </w:r>
            <w:bookmarkStart w:id="54" w:name="_ftnref165"/>
            <w:r w:rsidRPr="00E00BCF">
              <w:rPr>
                <w:rFonts w:ascii="Times New Roman" w:hAnsi="Times New Roman" w:cs="Times New Roman"/>
                <w:sz w:val="24"/>
                <w:szCs w:val="24"/>
                <w:shd w:val="clear" w:color="auto" w:fill="FFFFFF"/>
              </w:rPr>
              <w:fldChar w:fldCharType="begin"/>
            </w:r>
            <w:r w:rsidRPr="00E00BCF">
              <w:rPr>
                <w:rFonts w:ascii="Times New Roman" w:hAnsi="Times New Roman" w:cs="Times New Roman"/>
                <w:sz w:val="24"/>
                <w:szCs w:val="24"/>
                <w:shd w:val="clear" w:color="auto" w:fill="FFFFFF"/>
              </w:rPr>
              <w:instrText xml:space="preserve"> HYPERLINK "https://thuvienphapluat.vn/van-ban/Tai-nguyen-Moi-truong/Van-ban-hop-nhat-01-VBHN-BTNMT-2025-Nghi-dinh-huong-dan-Luat-Bao-ve-moi-truong-641957.aspx" \l "_ftn165" \o "" </w:instrText>
            </w:r>
            <w:r w:rsidRPr="00E00BCF">
              <w:rPr>
                <w:rFonts w:ascii="Times New Roman" w:hAnsi="Times New Roman" w:cs="Times New Roman"/>
                <w:sz w:val="24"/>
                <w:szCs w:val="24"/>
                <w:shd w:val="clear" w:color="auto" w:fill="FFFFFF"/>
              </w:rPr>
              <w:fldChar w:fldCharType="separate"/>
            </w:r>
            <w:r w:rsidRPr="00E00BCF">
              <w:rPr>
                <w:rStyle w:val="Hyperlink"/>
                <w:rFonts w:ascii="Times New Roman" w:hAnsi="Times New Roman" w:cs="Times New Roman"/>
                <w:color w:val="auto"/>
                <w:sz w:val="24"/>
                <w:szCs w:val="24"/>
                <w:shd w:val="clear" w:color="auto" w:fill="FFFFFF"/>
              </w:rPr>
              <w:t>[165]</w:t>
            </w:r>
            <w:r w:rsidRPr="00E00BCF">
              <w:rPr>
                <w:rFonts w:ascii="Times New Roman" w:hAnsi="Times New Roman" w:cs="Times New Roman"/>
                <w:sz w:val="24"/>
                <w:szCs w:val="24"/>
                <w:shd w:val="clear" w:color="auto" w:fill="FFFFFF"/>
              </w:rPr>
              <w:fldChar w:fldCharType="end"/>
            </w:r>
            <w:bookmarkEnd w:id="54"/>
            <w:r w:rsidRPr="00E00BCF">
              <w:rPr>
                <w:rFonts w:ascii="Times New Roman" w:hAnsi="Times New Roman" w:cs="Times New Roman"/>
                <w:sz w:val="24"/>
                <w:szCs w:val="24"/>
                <w:shd w:val="clear" w:color="auto" w:fill="FFFFFF"/>
              </w:rPr>
              <w:t> tiến hành kiểm tra việc chấp hành pháp luật về bảo vệ môi trường đối với tổ chức, cá nhân theo quy định tại điểm b khoản 3 Điều 160 Luật Bảo vệ môi trường; không kiểm tra các đối tượng thuộc kế hoạch kiểm tra, thanh tra hàng năm do Bộ Tài nguyên và Môi trường, Ủy ban nhân dân cấp tỉnh, cấp huyện phê duyệt, trừ trường hợp phát hiện dấu hiệu hoạt động phạm tội về bảo vệ môi trường hoặc thực hiện theo quy định pháp luật về tố tụng hình sự hoặc phải ngăn chặn ngay hành vi vi phạm pháp luật gây ô nhiễm môi trường đang xảy ra; phối hợp với cơ quan khác có chức năng kiểm tra việc chấp hành pháp luật về bảo vệ môi trường theo quy định tại Nghị định này;</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tabs>
                <w:tab w:val="right" w:leader="dot" w:pos="8640"/>
              </w:tabs>
              <w:jc w:val="both"/>
              <w:rPr>
                <w:rFonts w:ascii="Times New Roman" w:eastAsia="Calibri" w:hAnsi="Times New Roman" w:cs="Times New Roman"/>
                <w:b/>
                <w:sz w:val="24"/>
                <w:szCs w:val="24"/>
              </w:rPr>
            </w:pPr>
            <w:r w:rsidRPr="00E00BCF">
              <w:rPr>
                <w:rFonts w:ascii="Times New Roman" w:eastAsia="Calibri" w:hAnsi="Times New Roman" w:cs="Times New Roman"/>
                <w:b/>
                <w:sz w:val="24"/>
                <w:szCs w:val="24"/>
              </w:rPr>
              <w:t xml:space="preserve">điểm đ khoản 3 Điều 163 </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đ) Chủ tịch Ủy ban nhân dân cấp huyện phê duyệt kế hoạch kiểm tra việc chấp hành pháp luật về bảo vệ môi trường của các cơ quan có chức năng kiểm tra việc chấp hành pháp luật về bảo vệ môi trường trực thuộc Ủy ban nhân dân cấp huyện và của Ủy ban nhân dân cấp xã.</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Quyết định số 11/2025/QĐ-TTg ngày 23 tháng 4 năm 2025 của Thủ tướng Chính phủ ban hành Quy chế ứng phó sự cố chất thải</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2 Điều 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a) Chủ tịch Ủy ban nhân dân cấp huyện, Trưởng ban chỉ huy phòng thủ dân sự cấp huyện là người chỉ đạo ứng phó sự cố, huy động lực lượng, thiết bị, phương tiện ứng phó sự cố, chỉ định người chỉ huy và người phát ngôn về sự cố chất thải cấp huyện xảy ra trên địa bàn;</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5 Điều 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a) Cơ quan chuyên môn về bảo vệ môi trường cấp huyện chủ trì, phối hợp các cơ quan, đơn vị có liên quan khác của Ủy ban nhân dân cấp huyện tham mưu tổ chức ứng phó sự cố chất thải cấp huyện;</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 Điều 9</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bCs/>
                <w:sz w:val="24"/>
                <w:szCs w:val="24"/>
              </w:rPr>
              <w:t>1. Trưởng ban chỉ đạo Phòng thủ dân sự quốc gia thành lập tổ công tác xác định nguyên nhân sự cố cấp quốc gia ngay sau khi sự cố xảy ra; Chủ tịch Ủy ban nhân dân cấp tỉnh thành lập tổ công tác xác định nguyên nhân sự cố cấp tỉnh ngay sau khi sự cố xảy ra; Chủ tịch Ủy ban nhân dân cấp huyện thành lập tổ công tác xác định nguyên nhân sự cố cấp huyện ngay sau khi sự cố xảy ra.</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EF11A3">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2 Điều 13</w:t>
            </w:r>
          </w:p>
          <w:p w:rsidR="00E00BCF" w:rsidRPr="00E00BCF" w:rsidRDefault="00E00BCF" w:rsidP="00EF11A3">
            <w:pPr>
              <w:jc w:val="both"/>
              <w:rPr>
                <w:rFonts w:ascii="Times New Roman" w:hAnsi="Times New Roman" w:cs="Times New Roman"/>
                <w:bCs/>
                <w:sz w:val="24"/>
                <w:szCs w:val="24"/>
              </w:rPr>
            </w:pPr>
            <w:r w:rsidRPr="00E00BCF">
              <w:rPr>
                <w:rFonts w:ascii="Times New Roman" w:hAnsi="Times New Roman" w:cs="Times New Roman"/>
                <w:bCs/>
                <w:sz w:val="24"/>
                <w:szCs w:val="24"/>
              </w:rPr>
              <w:t>a) Cơ quan chuyên môn về bảo vệ môi trường cấp tỉnh, cấp huyện có trách nhiệm tham mưu Ủy ban nhân dân cùng cấp trong việc chỉ đạo tổ chức thực hiện phục hồi môi trường sau sự cố chất thải trên địa bàn;</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EF11A3">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 Điều 14</w:t>
            </w:r>
          </w:p>
          <w:p w:rsidR="00E00BCF" w:rsidRPr="00E00BCF" w:rsidRDefault="00E00BCF" w:rsidP="00EF11A3">
            <w:pPr>
              <w:jc w:val="both"/>
              <w:rPr>
                <w:rFonts w:ascii="Times New Roman" w:hAnsi="Times New Roman" w:cs="Times New Roman"/>
                <w:bCs/>
                <w:sz w:val="24"/>
                <w:szCs w:val="24"/>
              </w:rPr>
            </w:pPr>
            <w:r w:rsidRPr="00E00BCF">
              <w:rPr>
                <w:rFonts w:ascii="Times New Roman" w:hAnsi="Times New Roman" w:cs="Times New Roman"/>
                <w:bCs/>
                <w:sz w:val="24"/>
                <w:szCs w:val="24"/>
              </w:rPr>
              <w:t>1. Cơ quan chuyên môn về bảo vệ môi trường cấp huyện có trách nhiệm trình Ủy ban nhân dân cấp huyện phê duyệt kế hoạch cải tạo, phục hồi môi trường đối với sự cố chất thải quy định tại điểm b khoản 2 Điều 3 Quy chế này.</w:t>
            </w:r>
          </w:p>
        </w:tc>
      </w:tr>
      <w:tr w:rsidR="00E00BCF" w:rsidRPr="00E00BCF" w:rsidTr="00091924">
        <w:trPr>
          <w:jc w:val="center"/>
        </w:trPr>
        <w:tc>
          <w:tcPr>
            <w:tcW w:w="846" w:type="dxa"/>
            <w:shd w:val="clear" w:color="auto" w:fill="auto"/>
          </w:tcPr>
          <w:p w:rsidR="00E00BCF" w:rsidRPr="00091924" w:rsidRDefault="00E00BCF" w:rsidP="00814E4D">
            <w:pPr>
              <w:pStyle w:val="ListParagraph"/>
              <w:rPr>
                <w:rFonts w:ascii="Times New Roman" w:hAnsi="Times New Roman" w:cs="Times New Roman"/>
                <w:b/>
                <w:sz w:val="24"/>
                <w:szCs w:val="24"/>
              </w:rPr>
            </w:pPr>
          </w:p>
        </w:tc>
        <w:tc>
          <w:tcPr>
            <w:tcW w:w="14039" w:type="dxa"/>
            <w:shd w:val="clear" w:color="auto" w:fill="auto"/>
          </w:tcPr>
          <w:p w:rsidR="00E00BCF" w:rsidRPr="00E00BCF" w:rsidRDefault="00E00BCF" w:rsidP="00EF11A3">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22</w:t>
            </w:r>
          </w:p>
          <w:p w:rsidR="00E00BCF" w:rsidRPr="00E00BCF" w:rsidRDefault="00E00BCF" w:rsidP="0041675D">
            <w:pPr>
              <w:jc w:val="both"/>
              <w:rPr>
                <w:rFonts w:ascii="Times New Roman" w:hAnsi="Times New Roman" w:cs="Times New Roman"/>
                <w:bCs/>
                <w:sz w:val="24"/>
                <w:szCs w:val="24"/>
              </w:rPr>
            </w:pPr>
            <w:r w:rsidRPr="00E00BCF">
              <w:rPr>
                <w:rFonts w:ascii="Times New Roman" w:hAnsi="Times New Roman" w:cs="Times New Roman"/>
                <w:bCs/>
                <w:sz w:val="24"/>
                <w:szCs w:val="24"/>
              </w:rPr>
              <w:t>2. Cơ quan chuyên môn về bảo vệ môi trường cấp tỉnh, cấp huyện có trách nhiệm:</w:t>
            </w:r>
          </w:p>
          <w:p w:rsidR="00E00BCF" w:rsidRPr="00E00BCF" w:rsidRDefault="00E00BCF" w:rsidP="0041675D">
            <w:pPr>
              <w:jc w:val="both"/>
              <w:rPr>
                <w:rFonts w:ascii="Times New Roman" w:hAnsi="Times New Roman" w:cs="Times New Roman"/>
                <w:bCs/>
                <w:sz w:val="24"/>
                <w:szCs w:val="24"/>
              </w:rPr>
            </w:pPr>
            <w:r w:rsidRPr="00E00BCF">
              <w:rPr>
                <w:rFonts w:ascii="Times New Roman" w:hAnsi="Times New Roman" w:cs="Times New Roman"/>
                <w:bCs/>
                <w:sz w:val="24"/>
                <w:szCs w:val="24"/>
              </w:rPr>
              <w:t>a) Tham mưu cho Ủy ban nhân dân cùng cấp, Ban chỉ huy phòng thủ dân sự cùng cấp tổ chức kiểm tra, đánh giá nguy cơ xảy ra sự cố chất thải tại địa phương; xây dựng và trình cơ quan có thẩm quyền ban hành kế hoạch ứng phó sự cố chất thải theo quy định; hướng dẫn thực hiện hoạt động chuẩn bị, tổ chức ứng phó sự cố chất thải trên địa bàn;</w:t>
            </w:r>
          </w:p>
          <w:p w:rsidR="00E00BCF" w:rsidRPr="00E00BCF" w:rsidRDefault="00E00BCF" w:rsidP="0041675D">
            <w:pPr>
              <w:jc w:val="both"/>
              <w:rPr>
                <w:rFonts w:ascii="Times New Roman" w:hAnsi="Times New Roman" w:cs="Times New Roman"/>
                <w:bCs/>
                <w:sz w:val="24"/>
                <w:szCs w:val="24"/>
              </w:rPr>
            </w:pPr>
            <w:r w:rsidRPr="00E00BCF">
              <w:rPr>
                <w:rFonts w:ascii="Times New Roman" w:hAnsi="Times New Roman" w:cs="Times New Roman"/>
                <w:bCs/>
                <w:sz w:val="24"/>
                <w:szCs w:val="24"/>
              </w:rPr>
              <w:t>b) Tham mưu Ủy ban nhân dân và Ban chỉ huy phòng thủ dân sự cùng cấp tổ chức ứng phó sự cố chất thải, cải tạo, phục hồi môi trường sau sự cố chất thải trên địa bàn;</w:t>
            </w:r>
          </w:p>
          <w:p w:rsidR="00E00BCF" w:rsidRPr="00E00BCF" w:rsidRDefault="00E00BCF" w:rsidP="0041675D">
            <w:pPr>
              <w:jc w:val="both"/>
              <w:rPr>
                <w:rFonts w:ascii="Times New Roman" w:hAnsi="Times New Roman" w:cs="Times New Roman"/>
                <w:b/>
                <w:bCs/>
                <w:sz w:val="24"/>
                <w:szCs w:val="24"/>
              </w:rPr>
            </w:pPr>
            <w:r w:rsidRPr="00E00BCF">
              <w:rPr>
                <w:rFonts w:ascii="Times New Roman" w:hAnsi="Times New Roman" w:cs="Times New Roman"/>
                <w:bCs/>
                <w:sz w:val="24"/>
                <w:szCs w:val="24"/>
              </w:rPr>
              <w:t>c) Thực hiện các trách nhiệm khác về ứng phó sự cố chất thải theo quy định.</w:t>
            </w:r>
          </w:p>
        </w:tc>
      </w:tr>
      <w:tr w:rsidR="00E00BCF" w:rsidRPr="00E00BCF" w:rsidTr="00091924">
        <w:trPr>
          <w:trHeight w:val="846"/>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BẢO TỒN THIÊN NHIÊN VÀ ĐA DẠNG SINH HỌC</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160/2013/NĐ-CP ngày 12 tháng 11 năm 2013 của Chính phủ về tiêu chí xác định loài và chế độ quản lý loài thuộc Danh mục loài nguy cấp, quý, hiếm được ưu tiên bảo vệ</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shd w:val="clear" w:color="auto" w:fill="FFFFFF"/>
              <w:tabs>
                <w:tab w:val="left" w:pos="1701"/>
              </w:tabs>
              <w:jc w:val="both"/>
              <w:rPr>
                <w:rFonts w:ascii="Times New Roman" w:hAnsi="Times New Roman" w:cs="Times New Roman"/>
                <w:bCs/>
                <w:sz w:val="24"/>
                <w:szCs w:val="24"/>
              </w:rPr>
            </w:pPr>
            <w:r w:rsidRPr="00E00BCF">
              <w:rPr>
                <w:rFonts w:ascii="Times New Roman" w:hAnsi="Times New Roman" w:cs="Times New Roman"/>
                <w:b/>
                <w:bCs/>
                <w:sz w:val="24"/>
                <w:szCs w:val="24"/>
              </w:rPr>
              <w:t>khoản 3 Điều 10</w:t>
            </w:r>
          </w:p>
          <w:p w:rsidR="00E00BCF" w:rsidRPr="00E00BCF" w:rsidRDefault="00E00BCF" w:rsidP="00814E4D">
            <w:pPr>
              <w:shd w:val="clear" w:color="auto" w:fill="FFFFFF"/>
              <w:tabs>
                <w:tab w:val="left" w:pos="1701"/>
              </w:tabs>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3. Trường hợp loài động vật hoang dã được ưu tiên bảo vệ đe dọa đến tài sản hoặc tính mạng của nhân dân, Chủ tịch Ủy ban nhân dân cấp huyện, thị xã hoặc thành phố trực thuộc tỉnh xem xét, quyết định phương án tự vệ để bảo vệ tính mạng nhân dân và hạn chế tổn hại đến loài động vật hoang dã.</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66/2019/NĐ-CP ngày 29 tháng 7 năm 2019 của Chính phủ về bảo tồn và sử dụng bền vững các vùng đất ngập nước</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1 Điều 14.</w:t>
            </w:r>
          </w:p>
          <w:p w:rsidR="00E00BCF" w:rsidRPr="00E00BCF" w:rsidRDefault="00E00BCF" w:rsidP="00814E4D">
            <w:pPr>
              <w:jc w:val="both"/>
              <w:rPr>
                <w:rFonts w:ascii="Times New Roman" w:hAnsi="Times New Roman" w:cs="Times New Roman"/>
                <w:bCs/>
                <w:sz w:val="24"/>
                <w:szCs w:val="24"/>
              </w:rPr>
            </w:pPr>
            <w:bookmarkStart w:id="55" w:name="diem_b_1_14"/>
            <w:r w:rsidRPr="00E00BCF">
              <w:rPr>
                <w:rFonts w:ascii="Times New Roman" w:hAnsi="Times New Roman" w:cs="Times New Roman"/>
                <w:sz w:val="24"/>
                <w:szCs w:val="24"/>
                <w:shd w:val="clear" w:color="auto" w:fill="FFFFFF"/>
              </w:rPr>
              <w:t>b) Chủ tịch Ủy ban nhân dân cấp tỉnh thành lập Hội đồng thẩm định dự án thành lập khu bảo tồn đất ngập nước cấp tỉnh; Hội đồng thẩm định gồm: Chủ tịch Hội đồng là lãnh đạo Ủy ban nhân dân cấp tỉnh, các thành viên là lãnh đạo các sở, ban, ngành về Tài nguyên và Môi trường, Nông nghiệp và Phát triển nông thôn, Tài chính; Kế hoạch và Đầu tư, Nội vụ, Văn hóa, Thể thao và Du lịch, đại diện Ủy ban nhân dân cấp huyện nơi dự kiến thành lập khu bảo tồn, đại diện Bộ Tài nguyên và Môi trường, Bộ Nông nghiệp và Phát triển nông thôn, chuyên gia và đại diện của các cơ quan khác có liên quan.</w:t>
            </w:r>
            <w:bookmarkEnd w:id="55"/>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d khoản 2 Điều 18</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d) Quyền hạn, trách nhiệm của Tổ chức quản lý khu bảo tồn; các cơ quan quản lý nhà nước chuyên ngành; Ủy ban nhân dân cấp huyện, cấp xã có ranh giới hoặc diện tích nằm trong khu bảo tồn, vùng đệm khu bảo tồn và các tổ chức, cá nhân khác có liên quan đến các hoạt động của khu bảo tồn;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Điều 19</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Ủy ban nhân dân cấp huyện, cấp xã nơi có diện tích quản lý nằm trong vùng đệm thực hiện trách nhiệm:</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Tuyên truyền, vận động nhân dân trong địa bàn vùng đệm tuân thủ các quy định của pháp luật về bảo tồn và sử dụng bền vững các vùng đất ngập nước; thực hiện các biện pháp ngăn chặn sự xâm hại đến khu bảo tồn đất ngập nước;</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Quản lý, sử dụng bền vững tài nguyên thiên nhiên, bảo vệ môi trường, đa dạng sinh học vùng đệm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Phối hợp với tổ chức quản lý khu bảo tồn, cơ quan quản lý khu bảo tồn hoặc các bên có liên quan trong việc giải quyết các vấn đề liên quan đến khu bảo tồn trong phạm vi quyền hạn theo quy định của pháp luật.</w:t>
            </w:r>
          </w:p>
        </w:tc>
      </w:tr>
      <w:tr w:rsidR="00E00BCF" w:rsidRPr="00E00BCF" w:rsidTr="00091924">
        <w:trPr>
          <w:trHeight w:val="750"/>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BIỂN VÀ HẢI ĐẢO</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Tài nguyên, môi trường biển và hải đảo</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74</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w:t>
            </w:r>
            <w:r w:rsidRPr="00E00BCF">
              <w:rPr>
                <w:rFonts w:ascii="Times New Roman" w:eastAsia="Times New Roman" w:hAnsi="Times New Roman" w:cs="Times New Roman"/>
                <w:sz w:val="24"/>
                <w:szCs w:val="24"/>
                <w:shd w:val="clear" w:color="auto" w:fill="FFFFFF"/>
              </w:rPr>
              <w:t>Ủy ban</w:t>
            </w:r>
            <w:r w:rsidRPr="00E00BCF">
              <w:rPr>
                <w:rFonts w:ascii="Times New Roman" w:eastAsia="Times New Roman" w:hAnsi="Times New Roman" w:cs="Times New Roman"/>
                <w:sz w:val="24"/>
                <w:szCs w:val="24"/>
              </w:rPr>
              <w:t> nhân dân huyện, quận, thị xã, thành phố thuộc tỉnh và đơn vị hành chính tương đương có biển </w:t>
            </w:r>
            <w:r w:rsidRPr="00E00BCF">
              <w:rPr>
                <w:rFonts w:ascii="Times New Roman" w:eastAsia="Times New Roman" w:hAnsi="Times New Roman" w:cs="Times New Roman"/>
                <w:sz w:val="24"/>
                <w:szCs w:val="24"/>
                <w:shd w:val="clear" w:color="auto" w:fill="FFFFFF"/>
              </w:rPr>
              <w:t>trong</w:t>
            </w:r>
            <w:r w:rsidRPr="00E00BCF">
              <w:rPr>
                <w:rFonts w:ascii="Times New Roman" w:eastAsia="Times New Roman" w:hAnsi="Times New Roman" w:cs="Times New Roman"/>
                <w:sz w:val="24"/>
                <w:szCs w:val="24"/>
              </w:rPr>
              <w:t> phạm vi nhiệm vụ, quyền hạn của mình có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a) Tổ chức thực hiện văn bản quy phạm pháp luật về quản lý tổng hợp tài nguyên và bảo vệ môi trường biển và hải đảo;</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Thực hiện các biện pháp bảo vệ tài nguyên biển và hải đảo chưa khai thác, sử dụng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Bảo vệ hành lang bảo vệ bờ biển </w:t>
            </w:r>
            <w:r w:rsidRPr="00E00BCF">
              <w:rPr>
                <w:rFonts w:ascii="Times New Roman" w:eastAsia="Times New Roman" w:hAnsi="Times New Roman" w:cs="Times New Roman"/>
                <w:sz w:val="24"/>
                <w:szCs w:val="24"/>
                <w:shd w:val="clear" w:color="auto" w:fill="FFFFFF"/>
              </w:rPr>
              <w:t>trong</w:t>
            </w:r>
            <w:r w:rsidRPr="00E00BCF">
              <w:rPr>
                <w:rFonts w:ascii="Times New Roman" w:eastAsia="Times New Roman" w:hAnsi="Times New Roman" w:cs="Times New Roman"/>
                <w:sz w:val="24"/>
                <w:szCs w:val="24"/>
              </w:rPr>
              <w:t> phạm vi địa phương; phối hợp với cơ quan, tổ chức bảo vệ hệ thống quan trắc, giám sát tài nguyên, môi trường biển và hải đảo đặt trên địa bàn quản lý;</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Tham gia ứng phó, khắc phục sự cố tràn dầu, hóa chất độc trên biển; theo dõi, phát hiện và tham gia giải quyết sự cố gây ô nhiễm môi trường biển, sạt, lở bờ biển;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Tuyên truyền về biển và hải đảo; phổ biến, giáo dục pháp luật về quản lý </w:t>
            </w:r>
            <w:r w:rsidRPr="00E00BCF">
              <w:rPr>
                <w:rFonts w:ascii="Times New Roman" w:eastAsia="Times New Roman" w:hAnsi="Times New Roman" w:cs="Times New Roman"/>
                <w:sz w:val="24"/>
                <w:szCs w:val="24"/>
                <w:shd w:val="clear" w:color="auto" w:fill="FFFFFF"/>
              </w:rPr>
              <w:t>tổng hợp</w:t>
            </w:r>
            <w:r w:rsidRPr="00E00BCF">
              <w:rPr>
                <w:rFonts w:ascii="Times New Roman" w:eastAsia="Times New Roman" w:hAnsi="Times New Roman" w:cs="Times New Roman"/>
                <w:sz w:val="24"/>
                <w:szCs w:val="24"/>
              </w:rPr>
              <w:t> tài nguyên và bảo vệ môi trường biển và hải đảo;</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Định kỳ tổng hợp, báo cáo </w:t>
            </w:r>
            <w:r w:rsidRPr="00E00BCF">
              <w:rPr>
                <w:rFonts w:ascii="Times New Roman" w:eastAsia="Times New Roman" w:hAnsi="Times New Roman" w:cs="Times New Roman"/>
                <w:sz w:val="24"/>
                <w:szCs w:val="24"/>
                <w:shd w:val="clear" w:color="auto" w:fill="FFFFFF"/>
              </w:rPr>
              <w:t>Ủy ban</w:t>
            </w:r>
            <w:r w:rsidRPr="00E00BCF">
              <w:rPr>
                <w:rFonts w:ascii="Times New Roman" w:eastAsia="Times New Roman" w:hAnsi="Times New Roman" w:cs="Times New Roman"/>
                <w:sz w:val="24"/>
                <w:szCs w:val="24"/>
              </w:rPr>
              <w:t> nhân dân cấp trên trực tiếp tình hình quản lý </w:t>
            </w:r>
            <w:r w:rsidRPr="00E00BCF">
              <w:rPr>
                <w:rFonts w:ascii="Times New Roman" w:eastAsia="Times New Roman" w:hAnsi="Times New Roman" w:cs="Times New Roman"/>
                <w:sz w:val="24"/>
                <w:szCs w:val="24"/>
                <w:shd w:val="clear" w:color="auto" w:fill="FFFFFF"/>
              </w:rPr>
              <w:t>tổng hợp</w:t>
            </w:r>
            <w:r w:rsidRPr="00E00BCF">
              <w:rPr>
                <w:rFonts w:ascii="Times New Roman" w:eastAsia="Times New Roman" w:hAnsi="Times New Roman" w:cs="Times New Roman"/>
                <w:sz w:val="24"/>
                <w:szCs w:val="24"/>
              </w:rPr>
              <w:t> tài nguyên và bảo vệ môi trường biển và hải đảo.</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40/2016/NĐ-CP ngày 15 tháng 5 năm 2016 của Chính phủ hướng dẫn chi tiết thi hành một số điều của Luật Tài nguyên, môi trường biển và hải đảo, đã được sửa đổi, bổ sung một số điều theo Nghị định số 65/2025/NĐ-CP ngày 12 tháng 3 năm 2025 của Chính phủ</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3 Điều 16</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Hội đồng thẩm định chương trình quản lý tổng hợp tài nguyên vùng bờ trong phạm vi một tỉnh, thành phố trực thuộc trung ương do Ủy ban nhân dân tỉnh có biển thành lập với cơ cấu gồm 01 Chủ tịch hội đồng là lãnh đạo Ủy ban nhân dân tỉnh, 01 Phó Chủ tịch hội đồng, 02 Ủy viên phản biện, 01 Ủy viên thư ký và các ủy viên khác là đại diện của các sở, ban, ngành, Ủy ban nhân dân cấp huyện có liên quan và một số chuyên gia, nhà khoa học.</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khoản 2 Điều 43</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2. Ủy ban nhân dân huyện, quận, thành phố thuộc tỉnh và đơn vị hành chính tương đương có biển có trách nhiệm:</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a) Tổ chức thực hiện văn bản pháp luật về quản lý, bảo vệ hành lang bảo vệ bờ biển; tuyên truyền, phổ biến các quy định của pháp luật về quản lý, bảo vệ hành lang bảo vệ bờ biển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b) Thực hiện các biện pháp bảo vệ tài nguyên chưa khai thác, sử dụng trong hành lang bảo vệ bờ biển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c) Tham gia xây dựng và phối hợp thực hiện việc cắm mốc giới hành lang bảo vệ bờ biển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d) Quản lý, bảo vệ mốc giới hành lang bảo vệ bò biển; chịu trách nhiệm khi để xảy ra hiện tượng lấn chiếm, sử dụng trái phép phần đất thuộc phạm vi hành lang bảo vệ bờ biển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đ) Kiểm tra việc chấp hành pháp luật về quản lý, bảo vệ hành lang bảo vệ bờ biển trên địa bàn.</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11/2021/NĐ-CP ngày 10 tháng 02 năm 2021 của Chính phủ quy định việc giao các khu vực biển nhất định cho tổ chức, cá nhân có nhu cầu khai thác, sử dụng tài nguyên biển, đã được sửa đổi, bổ sung một số điều theo Nghị định số 65/2025/NĐ-CP ngày 12 tháng 3 năm 2025 của Chính phủ</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shd w:val="clear" w:color="auto" w:fill="FFFFFF"/>
              <w:jc w:val="both"/>
              <w:rPr>
                <w:rFonts w:ascii="Times New Roman" w:eastAsia="Times New Roman" w:hAnsi="Times New Roman" w:cs="Times New Roman"/>
                <w:b/>
                <w:sz w:val="24"/>
                <w:szCs w:val="24"/>
                <w:lang w:val="vi-VN"/>
              </w:rPr>
            </w:pPr>
            <w:r w:rsidRPr="00E00BCF">
              <w:rPr>
                <w:rFonts w:ascii="Times New Roman" w:eastAsia="Times New Roman" w:hAnsi="Times New Roman" w:cs="Times New Roman"/>
                <w:b/>
                <w:sz w:val="24"/>
                <w:szCs w:val="24"/>
                <w:lang w:val="vi-VN"/>
              </w:rPr>
              <w:t>điểm e khoản 4 Điều 5</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bookmarkStart w:id="56" w:name="diem_e_4_5"/>
            <w:r w:rsidRPr="00E00BCF">
              <w:rPr>
                <w:rFonts w:ascii="Times New Roman" w:eastAsia="Times New Roman" w:hAnsi="Times New Roman" w:cs="Times New Roman"/>
                <w:sz w:val="24"/>
                <w:szCs w:val="24"/>
                <w:lang w:val="vi-VN"/>
              </w:rPr>
              <w:t>e) Ủy ban nhân dân cấp huyện có biển có trách nhiệm xác định vị trí, ranh giới, diện tích khu vực biển đối với trường hợp thuộc thẩm quyền giao sau khi lấy ý kiến của</w:t>
            </w:r>
            <w:bookmarkEnd w:id="56"/>
            <w:r w:rsidRPr="00E00BCF">
              <w:rPr>
                <w:rFonts w:ascii="Times New Roman" w:eastAsia="Times New Roman" w:hAnsi="Times New Roman" w:cs="Times New Roman"/>
                <w:sz w:val="24"/>
                <w:szCs w:val="24"/>
                <w:lang w:val="vi-VN"/>
              </w:rPr>
              <w:t> </w:t>
            </w:r>
            <w:bookmarkStart w:id="57" w:name="cumtu_e_4_5"/>
            <w:r w:rsidRPr="00E00BCF">
              <w:rPr>
                <w:rFonts w:ascii="Times New Roman" w:eastAsia="Times New Roman" w:hAnsi="Times New Roman" w:cs="Times New Roman"/>
                <w:sz w:val="24"/>
                <w:szCs w:val="24"/>
                <w:lang w:val="vi-VN"/>
              </w:rPr>
              <w:t>Sở Tài nguyên và Môi trường, Sở Nông nghiệp và Phát triển nông thôn</w:t>
            </w:r>
            <w:bookmarkEnd w:id="57"/>
            <w:r w:rsidRPr="00E00BCF">
              <w:rPr>
                <w:rFonts w:ascii="Times New Roman" w:eastAsia="Times New Roman" w:hAnsi="Times New Roman" w:cs="Times New Roman"/>
                <w:sz w:val="24"/>
                <w:szCs w:val="24"/>
                <w:lang w:val="vi-VN"/>
              </w:rPr>
              <w:t>, </w:t>
            </w:r>
            <w:bookmarkStart w:id="58" w:name="diem_e_4_5_name"/>
            <w:r w:rsidRPr="00E00BCF">
              <w:rPr>
                <w:rFonts w:ascii="Times New Roman" w:eastAsia="Times New Roman" w:hAnsi="Times New Roman" w:cs="Times New Roman"/>
                <w:sz w:val="24"/>
                <w:szCs w:val="24"/>
                <w:lang w:val="vi-VN"/>
              </w:rPr>
              <w:t>cơ quan quân đội, công an cấp tỉnh và cơ quan, tổ chức có liên quan về các nội dung quy định tại điểm a, b và c khoản</w:t>
            </w:r>
            <w:bookmarkEnd w:id="58"/>
            <w:r w:rsidRPr="00E00BCF">
              <w:rPr>
                <w:rFonts w:ascii="Times New Roman" w:eastAsia="Times New Roman" w:hAnsi="Times New Roman" w:cs="Times New Roman"/>
                <w:sz w:val="24"/>
                <w:szCs w:val="24"/>
                <w:lang w:val="vi-VN"/>
              </w:rPr>
              <w:t> </w:t>
            </w:r>
            <w:bookmarkStart w:id="59" w:name="cumtu_e_4_5_1"/>
            <w:r w:rsidRPr="00E00BCF">
              <w:rPr>
                <w:rFonts w:ascii="Times New Roman" w:eastAsia="Times New Roman" w:hAnsi="Times New Roman" w:cs="Times New Roman"/>
                <w:sz w:val="24"/>
                <w:szCs w:val="24"/>
                <w:lang w:val="vi-VN"/>
              </w:rPr>
              <w:t>này</w:t>
            </w:r>
            <w:bookmarkEnd w:id="59"/>
            <w:r w:rsidRPr="00E00BCF">
              <w:rPr>
                <w:rFonts w:ascii="Times New Roman" w:eastAsia="Times New Roman" w:hAnsi="Times New Roman" w:cs="Times New Roman"/>
                <w:sz w:val="24"/>
                <w:szCs w:val="24"/>
                <w:lang w:val="vi-VN"/>
              </w:rPr>
              <w:t xml:space="preserve"> trong quá trình thẩm định hồ sơ đề nghị giao khu vực biển.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shd w:val="clear" w:color="auto" w:fill="FFFFFF"/>
              <w:jc w:val="both"/>
              <w:rPr>
                <w:rFonts w:ascii="Times New Roman" w:eastAsia="Times New Roman" w:hAnsi="Times New Roman" w:cs="Times New Roman"/>
                <w:b/>
                <w:sz w:val="24"/>
                <w:szCs w:val="24"/>
                <w:lang w:val="vi-VN"/>
              </w:rPr>
            </w:pPr>
            <w:r w:rsidRPr="00E00BCF">
              <w:rPr>
                <w:rFonts w:ascii="Times New Roman" w:eastAsia="Times New Roman" w:hAnsi="Times New Roman" w:cs="Times New Roman"/>
                <w:b/>
                <w:sz w:val="24"/>
                <w:szCs w:val="24"/>
                <w:lang w:val="vi-VN"/>
              </w:rPr>
              <w:t>khoản 2 Điều 16</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bookmarkStart w:id="60" w:name="khoan_2_16"/>
            <w:r w:rsidRPr="00E00BCF">
              <w:rPr>
                <w:rFonts w:ascii="Times New Roman" w:eastAsia="Times New Roman" w:hAnsi="Times New Roman" w:cs="Times New Roman"/>
                <w:sz w:val="24"/>
                <w:szCs w:val="24"/>
                <w:lang w:val="vi-VN"/>
              </w:rPr>
              <w:t>2. Việc thẩm định hồ sơ thực hiện như sau:</w:t>
            </w:r>
            <w:bookmarkEnd w:id="60"/>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Trong thời hạn không quá 45 ngày làm việc đối với hồ sơ thuộc thẩ</w:t>
            </w:r>
            <w:bookmarkStart w:id="61" w:name="cumtu_2_16_1"/>
            <w:r w:rsidRPr="00E00BCF">
              <w:rPr>
                <w:rFonts w:ascii="Times New Roman" w:eastAsia="Times New Roman" w:hAnsi="Times New Roman" w:cs="Times New Roman"/>
                <w:sz w:val="24"/>
                <w:szCs w:val="24"/>
                <w:lang w:val="vi-VN"/>
              </w:rPr>
              <w:t>m quyền giao khu vực biển của Bộ Nông nghiệp và Môi trường</w:t>
            </w:r>
            <w:bookmarkEnd w:id="61"/>
            <w:r w:rsidRPr="00E00BCF">
              <w:rPr>
                <w:rFonts w:ascii="Times New Roman" w:eastAsia="Times New Roman" w:hAnsi="Times New Roman" w:cs="Times New Roman"/>
                <w:sz w:val="24"/>
                <w:szCs w:val="24"/>
                <w:lang w:val="vi-VN"/>
              </w:rPr>
              <w:t> và Ủy ban nhân dân cấp tỉnh; không quá 30 ngày làm việc đối với hồ sơ thuộc thẩm quyền giao khu vực biển của Ủy ban nhân dân cấp huyện, kể từ ngày nhận được đầy đủ hồ sơ theo đúng quy định, cơ quan thẩm định hồ sơ có trách nhiệm:</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a) Hoàn thành việc thẩm định hồ sơ theo các nội dung quy định tại khoản 1 Điều 27 Nghị định này. Kết quả thẩm định phải được lập bằng văn bản;</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b) Xác định tiền sử dụng khu vực biển và các nghĩa vụ khác mà tổ chức, cá nhân phải thực hiện;</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 xml:space="preserve">c) Bộ Nông nghiệp và Môi trường có trách nhiệm gửi văn bản lấy ý kiến của Bộ Quốc phòng, Bộ Công an và Ủy ban nhân dân cấp tỉnh nơi có khu vực biển. Trong thời hạn không quá 20 ngày kể từ ngày nhận được văn bản lấy ý kiến kèm theo đầy đủ hồ sơ theo quy định, cơ quan được </w:t>
            </w:r>
            <w:r w:rsidRPr="00E00BCF">
              <w:rPr>
                <w:rFonts w:ascii="Times New Roman" w:eastAsia="Times New Roman" w:hAnsi="Times New Roman" w:cs="Times New Roman"/>
                <w:sz w:val="24"/>
                <w:szCs w:val="24"/>
                <w:lang w:val="vi-VN"/>
              </w:rPr>
              <w:lastRenderedPageBreak/>
              <w:t>lấy ý kiến có trách nhiệm phải trả lời bằng văn bản. Trường hợp quá thời hạn nêu trên mà không nhận được văn bản trả lời, Bộ Nông nghiệp và Môi trường xem xét, quyết định việc giao khu vực biển; cơ quan được lấy ý kiến chịu trách nhiệm về các vấn đề liên quan thuộc phạm vi quản lý. Thời gian lấy ý kiến không tính vào thời gian thẩm định hồ sơ;</w:t>
            </w:r>
            <w:bookmarkStart w:id="62" w:name="diem_d_2_16"/>
            <w:r w:rsidRPr="00E00BCF">
              <w:rPr>
                <w:rFonts w:ascii="Times New Roman" w:eastAsia="Times New Roman" w:hAnsi="Times New Roman" w:cs="Times New Roman"/>
                <w:sz w:val="24"/>
                <w:szCs w:val="24"/>
                <w:lang w:val="vi-VN"/>
              </w:rPr>
              <w:t xml:space="preserve"> </w:t>
            </w:r>
          </w:p>
          <w:bookmarkEnd w:id="62"/>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 xml:space="preserve">d) Ủy ban nhân dân cấp tỉnh có trách nhiệm gửi văn bản lấy ý kiến của Bộ Quốc phòng, Bộ Công an, Bộ Nông nghiệp và Môi trường; Ủy ban nhân dân cấp huyện có trách nhiệm gửi văn bản lấy ý kiến của cơ quan chuyên môn về Nông nghiệp và Môi trường cấp tỉnh, cơ quan quân đội, công an cấp tỉnh. Trong thời hạn không quá 20 ngày kể từ ngày nhận được văn bản lấy ý kiến kèm theo đầy đủ hồ sơ theo quy định, cơ quan được lấy ý kiến có trách nhiệm phải trả lời bằng văn bản. Trường hợp quá thời hạn nêu trên mà không nhận được văn bản trả lời, Ủy ban nhân dân cấp tỉnh xem xét, quyết định việc giao khu vực biển; cơ quan được lấy ý kiến chịu trách nhiệm về các vấn đề liên quan thuộc phạm vi quản lý. Thời gian lấy ý kiến không tính vào thời gian thẩm định hồ sơ; </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đ) Trường hợp trong quá trình xem xét, cấp văn bản cho phép khai thác, sử dụng tài nguyên biển cho tổ chức, cá nhân, cơ quan nhà nước có thẩm quyền đã lấy ý kiến các cơ quan quy định tại điểm c và điểm d khoản này về vị trí, ranh giới, tọa độ diện tích khu vực biển nơi đề nghị giao khu vực biển và văn bản ý kiến của các cơ quan này được gửi kèm theo hồ sơ đề nghị giao khu vực biển thì không phải thực hiện thủ tục lấy ý kiến quy định tại điểm c và điểm d khoản này;</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Trường hợp tổ chức, cá nhân Việt Nam đã được cơ quan nhà nước có thẩm quyền cấp Giấy phép nuôi trồng thủy sản theo quy định của pháp luật thủy sản thì không phải thực hiện thủ tục lấy ý kiến quy định tại điểm c và điểm d khoản này;</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e) Trường hợp cần thiết, cơ quan thẩm định hồ sơ tổ chức kiểm tra thực địa, thời gian kiểm tra thực địa không quá 10 ngày, thời gian kiểm tra thực địa không tính vào thời gian thẩm định hồ sơ;</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g) Trường hợp hồ sơ không đáp ứng đủ điều kiện để được giao khu vực biển, cơ quan thẩm định hồ sơ gửi thông tin và nêu rõ lý do đến cơ quan tiếp nhận hồ sơ để có văn bản trả lời tổ chức, cá nhân;</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h)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30 ngày kể từ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có văn bản trả lời tổ chức, cá nhân về việc không giao khu vực biển;</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i) Trường hợp hồ sơ đủ điều kiện để được xem xét, giao khu vực biển, cơ quan thẩm định hồ sơ trình hồ sơ cho cơ quan có thẩm quyền giao khu vực biển.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shd w:val="clear" w:color="auto" w:fill="FFFFFF"/>
              <w:jc w:val="both"/>
              <w:rPr>
                <w:rFonts w:ascii="Times New Roman" w:eastAsia="Times New Roman" w:hAnsi="Times New Roman" w:cs="Times New Roman"/>
                <w:b/>
                <w:sz w:val="24"/>
                <w:szCs w:val="24"/>
                <w:lang w:val="vi-VN"/>
              </w:rPr>
            </w:pPr>
            <w:bookmarkStart w:id="63" w:name="dieu_25"/>
            <w:r w:rsidRPr="00E00BCF">
              <w:rPr>
                <w:rFonts w:ascii="Times New Roman" w:eastAsia="Times New Roman" w:hAnsi="Times New Roman" w:cs="Times New Roman"/>
                <w:b/>
                <w:sz w:val="24"/>
                <w:szCs w:val="24"/>
                <w:lang w:val="vi-VN"/>
              </w:rPr>
              <w:t>Điều 25. Cơ quan tiếp nhận và thẩm định hồ sơ</w:t>
            </w:r>
            <w:bookmarkEnd w:id="63"/>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1. Cơ quan tiếp nhận hồ sơ:</w:t>
            </w:r>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a) Bộ phận Tiếp nhận và Trả kết quả giải quyết thủ tục hành chính </w:t>
            </w:r>
            <w:bookmarkStart w:id="64" w:name="cumtu_a_1_25_2"/>
            <w:r w:rsidRPr="00E00BCF">
              <w:rPr>
                <w:rFonts w:ascii="Times New Roman" w:eastAsia="Times New Roman" w:hAnsi="Times New Roman" w:cs="Times New Roman"/>
                <w:sz w:val="24"/>
                <w:szCs w:val="24"/>
                <w:lang w:val="vi-VN"/>
              </w:rPr>
              <w:t>Bộ Nông nghiệp và Môi trường</w:t>
            </w:r>
            <w:bookmarkEnd w:id="64"/>
            <w:r w:rsidRPr="00E00BCF">
              <w:rPr>
                <w:rFonts w:ascii="Times New Roman" w:eastAsia="Times New Roman" w:hAnsi="Times New Roman" w:cs="Times New Roman"/>
                <w:sz w:val="24"/>
                <w:szCs w:val="24"/>
                <w:lang w:val="vi-VN"/>
              </w:rPr>
              <w:t> là cơ quan tiếp nhận hồ sơ đề nghị giao, công nhận, trả lại khu vực biển; gia hạn, sửa đổi, bổ sung Quyết định giao khu vực biển thuộc</w:t>
            </w:r>
            <w:bookmarkStart w:id="65" w:name="cumtu_a_1_25_3"/>
            <w:r w:rsidRPr="00E00BCF">
              <w:rPr>
                <w:rFonts w:ascii="Times New Roman" w:eastAsia="Times New Roman" w:hAnsi="Times New Roman" w:cs="Times New Roman"/>
                <w:sz w:val="24"/>
                <w:szCs w:val="24"/>
                <w:lang w:val="vi-VN"/>
              </w:rPr>
              <w:t xml:space="preserve"> thẩm quyền của Bộ Nông nghiệp và Môi trường </w:t>
            </w:r>
            <w:bookmarkEnd w:id="65"/>
            <w:r w:rsidRPr="00E00BCF">
              <w:rPr>
                <w:rFonts w:ascii="Times New Roman" w:eastAsia="Times New Roman" w:hAnsi="Times New Roman" w:cs="Times New Roman"/>
                <w:sz w:val="24"/>
                <w:szCs w:val="24"/>
                <w:lang w:val="vi-VN"/>
              </w:rPr>
              <w:t>;</w:t>
            </w:r>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b) Trung tâm Phục vụ hành chính công cấp tỉnh là cơ quan tiếp nhận hồ sơ đề nghị giao, công nhận, trả lại khu vực biển; gia hạn, sửa đổi, bổ sung Quyết định giao khu vực biển thuộc thẩm quyền của Ủy ban nhân dân cấp tỉnh. Trường hợp chưa có Trung tâm Phục vụ hành chính công cấp tỉnh thì Sở Nông nghiệp và Môi trường là cơ quan tiếp nhận hồ sơ;</w:t>
            </w:r>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lastRenderedPageBreak/>
              <w:t>c) Bộ phận tiếp nhận và trả kết quả thuộc Ủy ban nhân dân cấp huyện là cơ quan tiếp nhận hồ sơ đề nghị giao, công nhận, trả lại khu vực biển; gia hạn, sửa đổi, bổ sung Quyết định giao khu vực biển thuộc thẩm quyền của Ủy ban nhân dân cấp huyện. Trường hợp chưa có Bộ phận tiếp nhận và trả kết quả thì Phòng Nông nghiệp và Môi trường là cơ quan tiếp nhận hồ sơ.</w:t>
            </w:r>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bookmarkStart w:id="66" w:name="khoan_2_25"/>
            <w:r w:rsidRPr="00E00BCF">
              <w:rPr>
                <w:rFonts w:ascii="Times New Roman" w:eastAsia="Times New Roman" w:hAnsi="Times New Roman" w:cs="Times New Roman"/>
                <w:sz w:val="24"/>
                <w:szCs w:val="24"/>
                <w:lang w:val="vi-VN"/>
              </w:rPr>
              <w:t>2. Cơ quan thẩm định hồ sơ:</w:t>
            </w:r>
            <w:bookmarkEnd w:id="66"/>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a) Cục Biển và Hải đảo Việt Nam là cơ quan thẩm định hồ sơ đề nghị giao, công nhận, trả lại khu vực biển; gia hạn, sửa đổi, bổ sung Quyết định giao khu vực biển và thu hồi khu vực biển thuộc thẩm quyền của </w:t>
            </w:r>
            <w:bookmarkStart w:id="67" w:name="cumtu_a_2_25_2"/>
            <w:r w:rsidRPr="00E00BCF">
              <w:rPr>
                <w:rFonts w:ascii="Times New Roman" w:eastAsia="Times New Roman" w:hAnsi="Times New Roman" w:cs="Times New Roman"/>
                <w:sz w:val="24"/>
                <w:szCs w:val="24"/>
                <w:lang w:val="vi-VN"/>
              </w:rPr>
              <w:t xml:space="preserve"> Bộ Nông nghiệp và Môi trường </w:t>
            </w:r>
            <w:bookmarkEnd w:id="67"/>
            <w:r w:rsidRPr="00E00BCF">
              <w:rPr>
                <w:rFonts w:ascii="Times New Roman" w:eastAsia="Times New Roman" w:hAnsi="Times New Roman" w:cs="Times New Roman"/>
                <w:sz w:val="24"/>
                <w:szCs w:val="24"/>
                <w:lang w:val="vi-VN"/>
              </w:rPr>
              <w:t>;</w:t>
            </w:r>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b) Sở Nông nghiệp và Môi trường là cơ quan thẩm định hồ sơ đề nghị giao, công nhận, trả lại khu vực biển; gia hạn, sửa đổi, bổ sung Quyết định giao khu vực biển và thu hồi khu vực biển thuộc thẩm quyền của Ủy ban nhân dân cấp tỉnh;</w:t>
            </w:r>
          </w:p>
          <w:p w:rsidR="00E00BCF" w:rsidRPr="00E00BCF" w:rsidRDefault="00E00BCF" w:rsidP="0027089E">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c) Phòng Nông nghiệp và Môi trường là cơ quan thẩm định hồ sơ đề nghị giao, công nhận, trả lại khu vực biển; gia hạn, sửa đổi, bổ sung Quyết định giao khu vực biển, thu hồi khu vực biển thuộc thẩm quyền của Ủy ban nhân dân cấp huyện.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68" w:name="dieu_41"/>
            <w:r w:rsidRPr="00E00BCF">
              <w:rPr>
                <w:rFonts w:ascii="Times New Roman" w:eastAsia="Times New Roman" w:hAnsi="Times New Roman" w:cs="Times New Roman"/>
                <w:b/>
                <w:bCs/>
                <w:sz w:val="24"/>
                <w:szCs w:val="24"/>
              </w:rPr>
              <w:t>Điều 41. Trách nhiệm của Ủy ban nhân dân cấp huyện có biển</w:t>
            </w:r>
            <w:bookmarkEnd w:id="68"/>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1. Thực hiện việc giao, công nhận, cho phép trả lại, thu hồi khu vực biển, gia hạn, sửa đổi, bổ sung Quyết định giao khu vực biển để nuôi trồng thủy sản theo thẩm quyền giao khu vực biển quy định tại </w:t>
            </w:r>
            <w:bookmarkStart w:id="69" w:name="tc_56"/>
            <w:r w:rsidRPr="00E00BCF">
              <w:rPr>
                <w:rFonts w:ascii="Times New Roman" w:eastAsia="Times New Roman" w:hAnsi="Times New Roman" w:cs="Times New Roman"/>
                <w:sz w:val="24"/>
                <w:szCs w:val="24"/>
                <w:lang w:val="vi-VN"/>
              </w:rPr>
              <w:t>khoản 4 Điều 8 Nghị định này</w:t>
            </w:r>
            <w:bookmarkEnd w:id="69"/>
            <w:r w:rsidRPr="00E00BCF">
              <w:rPr>
                <w:rFonts w:ascii="Times New Roman" w:eastAsia="Times New Roman" w:hAnsi="Times New Roman" w:cs="Times New Roman"/>
                <w:sz w:val="24"/>
                <w:szCs w:val="24"/>
                <w:lang w:val="vi-VN"/>
              </w:rPr>
              <w:t>.</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2. Quản lý các hoạt động sử dụng các khu vực biển để nuôi trồng thủy sản theo thẩm quyền giao khu vực biển; cung cấp thông tin, dữ liệu về giao, sử dụng khu vực biển trên địa bàn quản lý.</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bookmarkStart w:id="70" w:name="khoan_3_41"/>
            <w:r w:rsidRPr="00E00BCF">
              <w:rPr>
                <w:rFonts w:ascii="Times New Roman" w:eastAsia="Times New Roman" w:hAnsi="Times New Roman" w:cs="Times New Roman"/>
                <w:sz w:val="24"/>
                <w:szCs w:val="24"/>
                <w:lang w:val="vi-VN"/>
              </w:rPr>
              <w:t xml:space="preserve">3. </w:t>
            </w:r>
            <w:bookmarkEnd w:id="70"/>
            <w:r w:rsidRPr="00E00BCF">
              <w:rPr>
                <w:rFonts w:ascii="Times New Roman" w:eastAsia="Times New Roman" w:hAnsi="Times New Roman" w:cs="Times New Roman"/>
                <w:sz w:val="24"/>
                <w:szCs w:val="24"/>
                <w:lang w:val="vi-VN"/>
              </w:rPr>
              <w:t>Bãi bỏ</w:t>
            </w:r>
          </w:p>
          <w:p w:rsidR="00E00BCF" w:rsidRPr="00E00BCF" w:rsidRDefault="00E00BCF" w:rsidP="00814E4D">
            <w:pPr>
              <w:shd w:val="clear" w:color="auto" w:fill="FFFFFF"/>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4. Thanh tra, kiểm tra việc thực hiện quy định của pháp luật về giao, sử dụng khu vực biển trên địa bàn và giải quyết các tranh chấp về sử dụng khu vực biển thuộc thẩm quyền giao trên địa bàn huyện theo quy định của pháp luật.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5. Tổ chức tuyên truyền, phổ biến kiến thức, giáo dục pháp luật cho cơ quan, tổ chức, cá nhân trong công tác giao, sử dụng khu vực bi</w:t>
            </w:r>
            <w:r w:rsidRPr="00E00BCF">
              <w:rPr>
                <w:rFonts w:ascii="Times New Roman" w:eastAsia="Times New Roman" w:hAnsi="Times New Roman" w:cs="Times New Roman"/>
                <w:sz w:val="24"/>
                <w:szCs w:val="24"/>
              </w:rPr>
              <w:t>ể</w:t>
            </w:r>
            <w:r w:rsidRPr="00E00BCF">
              <w:rPr>
                <w:rFonts w:ascii="Times New Roman" w:eastAsia="Times New Roman" w:hAnsi="Times New Roman" w:cs="Times New Roman"/>
                <w:sz w:val="24"/>
                <w:szCs w:val="24"/>
                <w:lang w:val="vi-VN"/>
              </w:rPr>
              <w:t>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6. Tổng hợp, đánh giá tình hình giao, sử dụng khu vực biển trên địa bàn cấp hu</w:t>
            </w:r>
            <w:r w:rsidRPr="00E00BCF">
              <w:rPr>
                <w:rFonts w:ascii="Times New Roman" w:eastAsia="Times New Roman" w:hAnsi="Times New Roman" w:cs="Times New Roman"/>
                <w:sz w:val="24"/>
                <w:szCs w:val="24"/>
              </w:rPr>
              <w:t>y</w:t>
            </w:r>
            <w:r w:rsidRPr="00E00BCF">
              <w:rPr>
                <w:rFonts w:ascii="Times New Roman" w:eastAsia="Times New Roman" w:hAnsi="Times New Roman" w:cs="Times New Roman"/>
                <w:sz w:val="24"/>
                <w:szCs w:val="24"/>
                <w:lang w:val="vi-VN"/>
              </w:rPr>
              <w:t>ện; gửi báo cáo Ủy ban nhân dân cấp tỉnh theo quy định trước ngày 30 tháng 12 hằng n</w:t>
            </w:r>
            <w:r w:rsidRPr="00E00BCF">
              <w:rPr>
                <w:rFonts w:ascii="Times New Roman" w:eastAsia="Times New Roman" w:hAnsi="Times New Roman" w:cs="Times New Roman"/>
                <w:sz w:val="24"/>
                <w:szCs w:val="24"/>
              </w:rPr>
              <w:t>ă</w:t>
            </w:r>
            <w:r w:rsidRPr="00E00BCF">
              <w:rPr>
                <w:rFonts w:ascii="Times New Roman" w:eastAsia="Times New Roman" w:hAnsi="Times New Roman" w:cs="Times New Roman"/>
                <w:sz w:val="24"/>
                <w:szCs w:val="24"/>
                <w:lang w:val="vi-VN"/>
              </w:rPr>
              <w:t>m.</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65/2025/NĐ-CP ngày 12 tháng 3 năm 2025 của Chính phủ sửa đổi, bổ sung một số điều của Nghị định số 40/2016/NĐ-CP và Nghị định số 11/2021/NĐ-CP</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10 Điều 2</w:t>
            </w:r>
          </w:p>
          <w:p w:rsidR="00E00BCF" w:rsidRPr="00E00BCF" w:rsidRDefault="00E00BCF" w:rsidP="0027089E">
            <w:pPr>
              <w:shd w:val="clear" w:color="auto" w:fill="FFFFFF"/>
              <w:jc w:val="both"/>
              <w:rPr>
                <w:rFonts w:ascii="Times New Roman" w:eastAsia="Times New Roman" w:hAnsi="Times New Roman" w:cs="Times New Roman"/>
                <w:sz w:val="24"/>
                <w:szCs w:val="24"/>
              </w:rPr>
            </w:pPr>
            <w:bookmarkStart w:id="71" w:name="khoan_10_2"/>
            <w:r w:rsidRPr="00E00BCF">
              <w:rPr>
                <w:rFonts w:ascii="Times New Roman" w:eastAsia="Times New Roman" w:hAnsi="Times New Roman" w:cs="Times New Roman"/>
                <w:sz w:val="24"/>
                <w:szCs w:val="24"/>
              </w:rPr>
              <w:t>10. Sửa đổi, bổ sung</w:t>
            </w:r>
            <w:bookmarkEnd w:id="71"/>
            <w:r w:rsidRPr="00E00BCF">
              <w:rPr>
                <w:rFonts w:ascii="Times New Roman" w:eastAsia="Times New Roman" w:hAnsi="Times New Roman" w:cs="Times New Roman"/>
                <w:sz w:val="24"/>
                <w:szCs w:val="24"/>
              </w:rPr>
              <w:t> </w:t>
            </w:r>
            <w:bookmarkStart w:id="72" w:name="dc_45"/>
            <w:r w:rsidRPr="00E00BCF">
              <w:rPr>
                <w:rFonts w:ascii="Times New Roman" w:eastAsia="Times New Roman" w:hAnsi="Times New Roman" w:cs="Times New Roman"/>
                <w:sz w:val="24"/>
                <w:szCs w:val="24"/>
              </w:rPr>
              <w:t>Điều 8</w:t>
            </w:r>
            <w:bookmarkEnd w:id="72"/>
            <w:r w:rsidRPr="00E00BCF">
              <w:rPr>
                <w:rFonts w:ascii="Times New Roman" w:eastAsia="Times New Roman" w:hAnsi="Times New Roman" w:cs="Times New Roman"/>
                <w:sz w:val="24"/>
                <w:szCs w:val="24"/>
              </w:rPr>
              <w:t> </w:t>
            </w:r>
            <w:bookmarkStart w:id="73" w:name="khoan_10_2_name"/>
            <w:r w:rsidRPr="00E00BCF">
              <w:rPr>
                <w:rFonts w:ascii="Times New Roman" w:eastAsia="Times New Roman" w:hAnsi="Times New Roman" w:cs="Times New Roman"/>
                <w:sz w:val="24"/>
                <w:szCs w:val="24"/>
              </w:rPr>
              <w:t>như sau:</w:t>
            </w:r>
            <w:bookmarkEnd w:id="73"/>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b/>
                <w:bCs/>
                <w:sz w:val="24"/>
                <w:szCs w:val="24"/>
              </w:rPr>
              <w:t>“Điều 8. Thẩm quyền giao, công nhận, cho phép trả lại khu vực biển; gia hạn, sửa đổi, bổ sung Quyết định giao khu vực biển; thu hồi khu vực biển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1. Bộ Nông nghiệp và Môi trường quyết định giao khu vực biển trong trường hợp khu vực biển có phạm vi nằm ngoài vùng biển 06 hải lý tính từ đường mép nước biển thấp nhất trung bình trong nhiều năm của đất liền và các đảo theo quy định tại </w:t>
            </w:r>
            <w:bookmarkStart w:id="74" w:name="dc_46"/>
            <w:r w:rsidRPr="00E00BCF">
              <w:rPr>
                <w:rFonts w:ascii="Times New Roman" w:eastAsia="Times New Roman" w:hAnsi="Times New Roman" w:cs="Times New Roman"/>
                <w:sz w:val="24"/>
                <w:szCs w:val="24"/>
              </w:rPr>
              <w:t>khoản 3 Điều 3 Nghị định</w:t>
            </w:r>
            <w:bookmarkEnd w:id="74"/>
            <w:r w:rsidRPr="00E00BCF">
              <w:rPr>
                <w:rFonts w:ascii="Times New Roman" w:eastAsia="Times New Roman" w:hAnsi="Times New Roman" w:cs="Times New Roman"/>
                <w:sz w:val="24"/>
                <w:szCs w:val="24"/>
              </w:rPr>
              <w:t> này, trừ trường hợp quy định tại điểm c khoản 2 Điều này; khu vực biển liên vùng; khu vực biển giao cho nhà đầu tư nước ngoài, tổ chức kinh tế có vốn đầu tư nước ngoài để nuôi trồng thủy sản.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cấp tỉnh có biển quyết định giao khu vực biển trong các trường hợp sau đây, trừ trường hợp quy định tại khoản 1 và khoản 3 Điều này.</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a) Khu vực biển nằm trong phạm vi vùng biển 06 hải lý tính từ đường mép nước biển thấp nhất trung bình trong nhiều năm của đất liền và các đảo theo quy định tại </w:t>
            </w:r>
            <w:bookmarkStart w:id="75" w:name="dc_47"/>
            <w:r w:rsidRPr="00E00BCF">
              <w:rPr>
                <w:rFonts w:ascii="Times New Roman" w:eastAsia="Times New Roman" w:hAnsi="Times New Roman" w:cs="Times New Roman"/>
                <w:sz w:val="24"/>
                <w:szCs w:val="24"/>
              </w:rPr>
              <w:t>khoản 3 Điều 3 Nghị định</w:t>
            </w:r>
            <w:bookmarkEnd w:id="75"/>
            <w:r w:rsidRPr="00E00BCF">
              <w:rPr>
                <w:rFonts w:ascii="Times New Roman" w:eastAsia="Times New Roman" w:hAnsi="Times New Roman" w:cs="Times New Roman"/>
                <w:sz w:val="24"/>
                <w:szCs w:val="24"/>
              </w:rPr>
              <w:t> này;</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Khu vực biển để nuôi trồng thủy sản nằm trong phạm vi vùng biển 06 hải lý tính từ đường mép nước biển thấp nhất trung bình trong nhiều năm của đất liền và các đảo;</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Khu vực biển nằm ngoài phạm vi vùng biển 06 hải lý tính từ đường mép nước biển thấp nhất trung bình trong nhiều năm của đất liền và các đảo theo quy định tại </w:t>
            </w:r>
            <w:bookmarkStart w:id="76" w:name="dc_48"/>
            <w:r w:rsidRPr="00E00BCF">
              <w:rPr>
                <w:rFonts w:ascii="Times New Roman" w:eastAsia="Times New Roman" w:hAnsi="Times New Roman" w:cs="Times New Roman"/>
                <w:sz w:val="24"/>
                <w:szCs w:val="24"/>
              </w:rPr>
              <w:t>khoản 3 Điều 3 Nghị định</w:t>
            </w:r>
            <w:bookmarkEnd w:id="76"/>
            <w:r w:rsidRPr="00E00BCF">
              <w:rPr>
                <w:rFonts w:ascii="Times New Roman" w:eastAsia="Times New Roman" w:hAnsi="Times New Roman" w:cs="Times New Roman"/>
                <w:sz w:val="24"/>
                <w:szCs w:val="24"/>
              </w:rPr>
              <w:t> này và nằm trong phạm vi quản lý hành chính trên biển của Ủy ban nhân dân cấp tỉnh đối với các dự án có sử dụng khu vực biển do Ủy ban nhân dân cấp tỉnh có biển quyết định phê duyệt chủ trương đầu tư, chấp thuận chủ trương đầu tư, cấp giấy phép khai thác khoáng sản.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Ủy ban nhân dân cấp huyện có biển quyết định giao khu vực biển cho cá nhân Việt Nam để nuôi trồng thủy sản theo quy định tại </w:t>
            </w:r>
            <w:bookmarkStart w:id="77" w:name="dc_49"/>
            <w:r w:rsidRPr="00E00BCF">
              <w:rPr>
                <w:rFonts w:ascii="Times New Roman" w:eastAsia="Times New Roman" w:hAnsi="Times New Roman" w:cs="Times New Roman"/>
                <w:sz w:val="24"/>
                <w:szCs w:val="24"/>
              </w:rPr>
              <w:t>điểm a khoản 2 Điều 44 Luật Thủy sản</w:t>
            </w:r>
            <w:bookmarkEnd w:id="77"/>
            <w:r w:rsidRPr="00E00BCF">
              <w:rPr>
                <w:rFonts w:ascii="Times New Roman" w:eastAsia="Times New Roman" w:hAnsi="Times New Roman" w:cs="Times New Roman"/>
                <w:sz w:val="24"/>
                <w:szCs w:val="24"/>
              </w:rPr>
              <w:t> nằm trong vùng biển 03 hải lý tính từ đường mép nước biển thấp nhất trung bình trong nhiều năm của đất liền và các đảo.</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Hạn mức giao khu vực biển để nuôi trồng thủy sản theo quy định tại khoản này không quá 05 ha.</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Cơ quan nhà nước có thẩm quyền giao khu vực biển nào thì có thẩm quyền công nhận; gia hạn; sửa đổi, bổ sung quyết định giao khu vực biển; cho phép trả lại; thu hồi khu vực biển đó.</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Ủy ban nhân dân cấp tỉnh có biển có trách nhiệm gửi quyết định giao, công nhận, cho phép trả lại khu vực biển; gia hạn, sửa đổi, bổ sung Quyết định giao khu vực biển; thu hồi khu vực biển về Bộ Nông nghiệp và Môi trường.”</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17 Điều 2</w:t>
            </w:r>
          </w:p>
          <w:p w:rsidR="00E00BCF" w:rsidRPr="00E00BCF" w:rsidRDefault="00E00BCF" w:rsidP="0027089E">
            <w:pPr>
              <w:shd w:val="clear" w:color="auto" w:fill="FFFFFF"/>
              <w:jc w:val="both"/>
              <w:rPr>
                <w:rFonts w:ascii="Times New Roman" w:eastAsia="Times New Roman" w:hAnsi="Times New Roman" w:cs="Times New Roman"/>
                <w:sz w:val="24"/>
                <w:szCs w:val="24"/>
              </w:rPr>
            </w:pPr>
            <w:bookmarkStart w:id="78" w:name="khoan_17_2"/>
            <w:r w:rsidRPr="00E00BCF">
              <w:rPr>
                <w:rFonts w:ascii="Times New Roman" w:eastAsia="Times New Roman" w:hAnsi="Times New Roman" w:cs="Times New Roman"/>
                <w:sz w:val="24"/>
                <w:szCs w:val="24"/>
              </w:rPr>
              <w:t>17. Sửa đổi, bổ sung</w:t>
            </w:r>
            <w:bookmarkEnd w:id="78"/>
            <w:r w:rsidRPr="00E00BCF">
              <w:rPr>
                <w:rFonts w:ascii="Times New Roman" w:eastAsia="Times New Roman" w:hAnsi="Times New Roman" w:cs="Times New Roman"/>
                <w:sz w:val="24"/>
                <w:szCs w:val="24"/>
              </w:rPr>
              <w:t> </w:t>
            </w:r>
            <w:bookmarkStart w:id="79" w:name="dc_72"/>
            <w:r w:rsidRPr="00E00BCF">
              <w:rPr>
                <w:rFonts w:ascii="Times New Roman" w:eastAsia="Times New Roman" w:hAnsi="Times New Roman" w:cs="Times New Roman"/>
                <w:sz w:val="24"/>
                <w:szCs w:val="24"/>
              </w:rPr>
              <w:t>điểm c, d</w:t>
            </w:r>
            <w:bookmarkEnd w:id="79"/>
            <w:r w:rsidRPr="00E00BCF">
              <w:rPr>
                <w:rFonts w:ascii="Times New Roman" w:eastAsia="Times New Roman" w:hAnsi="Times New Roman" w:cs="Times New Roman"/>
                <w:sz w:val="24"/>
                <w:szCs w:val="24"/>
              </w:rPr>
              <w:t> và bổ sung điểm đ, e, g, h và điểm i </w:t>
            </w:r>
            <w:bookmarkStart w:id="80" w:name="dc_138"/>
            <w:r w:rsidRPr="00E00BCF">
              <w:rPr>
                <w:rFonts w:ascii="Times New Roman" w:eastAsia="Times New Roman" w:hAnsi="Times New Roman" w:cs="Times New Roman"/>
                <w:sz w:val="24"/>
                <w:szCs w:val="24"/>
              </w:rPr>
              <w:t>khoản 2 Điều 16</w:t>
            </w:r>
            <w:bookmarkEnd w:id="80"/>
            <w:r w:rsidRPr="00E00BCF">
              <w:rPr>
                <w:rFonts w:ascii="Times New Roman" w:eastAsia="Times New Roman" w:hAnsi="Times New Roman" w:cs="Times New Roman"/>
                <w:sz w:val="24"/>
                <w:szCs w:val="24"/>
              </w:rPr>
              <w:t> </w:t>
            </w:r>
            <w:bookmarkStart w:id="81" w:name="khoan_17_2_name"/>
            <w:r w:rsidRPr="00E00BCF">
              <w:rPr>
                <w:rFonts w:ascii="Times New Roman" w:eastAsia="Times New Roman" w:hAnsi="Times New Roman" w:cs="Times New Roman"/>
                <w:sz w:val="24"/>
                <w:szCs w:val="24"/>
              </w:rPr>
              <w:t>như sau:</w:t>
            </w:r>
            <w:bookmarkEnd w:id="81"/>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Bộ Nông nghiệp và Môi trường có trách nhiệm gửi văn bản lấy ý kiến của Bộ Quốc phòng, Bộ Công an và Ủy ban nhân dân cấp tỉnh nơi có khu vực biển. Trong thời hạn không quá 20 ngày kể từ ngày nhận được văn bản lấy ý kiến kèm theo đầy đủ hồ sơ theo quy định, cơ quan được lấy ý kiến có trách nhiệm phải trả lời bằng văn bản. Trường hợp quá thời hạn nêu trên mà không nhận được văn bản trả lời, Bộ Nông nghiệp và Môi trường xem xét, quyết định việc giao khu vực biển; cơ quan được lấy ý kiến chịu trách nhiệm về các vấn đề liên quan thuộc phạm vi quản lý. Thời gian lấy ý kiến không tính vào thời gian thẩm định hồ sơ;</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Ủy ban nhân dân cấp tỉnh có trách nhiệm gửi văn bản lấy ý kiến của Bộ Quốc phòng, Bộ Công an, Bộ Nông nghiệp và Môi trường; Ủy ban nhân dân cấp huyện có trách nhiệm gửi văn bản lấy ý kiến của cơ quan chuyên môn về Nông nghiệp và Môi trường cấp tỉnh, cơ quan quân đội, công an cấp tỉnh. Trong thời hạn không quá 20 ngày kể từ ngày nhận được văn bản lấy ý kiến kèm theo đầy đủ hồ sơ theo quy định, cơ quan được lấy ý kiến có trách nhiệm phải trả lời bằng văn bản. Trường hợp quá thời hạn nêu trên mà không nhận được văn bản trả lời, Ủy ban nhân dân cấp tỉnh xem xét, quyết định việc giao khu vực biển; cơ quan được lấy ý kiến chịu trách nhiệm về các vấn đề liên quan thuộc phạm vi quản lý. Thời gian lấy ý kiến không tính vào thời gian thẩm định hồ sơ;</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Trường hợp trong quá trình xem xét, cấp văn bản cho phép khai thác, sử dụng tài nguyên biển cho tổ chức, cá nhân, cơ quan nhà nước có thẩm quyền đã lấy ý kiến các cơ quan quy định tại điểm c và điểm d khoản này về vị trí, ranh giới, tọa độ diện tích khu vực biển nơi đề nghị giao khu vực biển và văn bản ý kiến của các cơ quan này được gửi kèm theo hồ sơ đề nghị giao khu vực biển thì không phải thực hiện thủ tục lấy ý kiến quy định tại điểm c và điểm d khoản này;</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Trường hợp tổ chức, cá nhân Việt Nam đã được cơ quan nhà nước có thẩm quyền cấp Giấy phép nuôi trồng thủy sản theo quy định của pháp luật thủy sản thì không phải thực hiện thủ tục lấy ý kiến quy định tại điểm c và điểm d khoản này;</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Trường hợp cần thiết, cơ quan thẩm định hồ sơ tổ chức kiểm tra thực địa, thời gian kiểm tra thực địa không quá 10 ngày, thời gian kiểm tra thực địa không tính vào thời gian thẩm định hồ sơ;</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g) Trường hợp hồ sơ không đáp ứng đủ điều kiện để được giao khu vực biển, cơ quan thẩm định hồ sơ gửi thông tin và nêu rõ lý do đến cơ quan tiếp nhận hồ sơ để có văn bản trả lời tổ chức, cá nhân;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h) Trường hợp hồ sơ còn chưa đủ thông tin để quyết định giao khu vực biển, cơ quan thẩm định hồ sơ gửi văn bản đề nghị tổ chức, cá nhân cung cấp bổ sung thông tin, giải trình những nội dung cần làm rõ. Thời gian tổ chức, cá nhân gửi văn bản cung cấp bổ sung thông tin, giải trình không tính vào thời gian thẩm định hồ sơ. Tổ chức, cá nhân gửi văn bản cung cấp bổ sung thông tin, giải trình đến cơ quan thẩm định hồ sơ trong thời hạn không quá 30 ngày kể từ ngày cơ quan thẩm định hồ sơ gửi văn bản đề nghị; quá thời hạn này mà cơ quan thẩm định hồ sơ không nhận được văn bản cung cấp bổ sung thông tin, giải trình của tổ chức, cá nhân thì cơ quan thẩm định hồ sơ gửi thông tin đến cơ quan tiếp nhận hồ sơ để có văn bản trả lời tổ chức, cá nhân về việc không giao khu vực biển;</w:t>
            </w:r>
          </w:p>
          <w:p w:rsidR="00E00BCF" w:rsidRPr="00E00BCF" w:rsidRDefault="00E00BCF" w:rsidP="0027089E">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i) Trường hợp hồ sơ đủ điều kiện để được xem xét, giao khu vực biển, cơ quan thẩm định hồ sơ trình hồ sơ cho cơ quan có thẩm quyền giao khu vực biển.”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4 Điều 5</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Trong khi ranh giới phân định quản lý hành chính trên biển chưa được cơ quan nhà nước có thẩm quyền phê duyệt, ban hành, việc xác định khu vực biển thuộc phạm vi quản lý của Ủy ban nhân dân cấp huyện, Ủy ban nhân dân cấp tỉnh và việc xác định khu vực biển liên vùng có phạm vi thuộc hai hay nhiều tỉnh, thành phố trực thuộc trung ương có biển căn cứ biên bản thỏa thuận phân định ranh giới quân lý hành chính trên biển giữa các huyện, các tỉnh thành phố trực thuộc trung ương có biển đã được thực hiện theo Quyết định số </w:t>
            </w:r>
            <w:bookmarkStart w:id="82" w:name="tvpllink_dzwlhebzol"/>
            <w:r w:rsidRPr="00E00BCF">
              <w:rPr>
                <w:rFonts w:ascii="Times New Roman" w:hAnsi="Times New Roman" w:cs="Times New Roman"/>
                <w:sz w:val="24"/>
                <w:szCs w:val="24"/>
              </w:rPr>
              <w:fldChar w:fldCharType="begin"/>
            </w:r>
            <w:r w:rsidRPr="00E00BCF">
              <w:rPr>
                <w:rFonts w:ascii="Times New Roman" w:hAnsi="Times New Roman" w:cs="Times New Roman"/>
                <w:sz w:val="24"/>
                <w:szCs w:val="24"/>
              </w:rPr>
              <w:instrText xml:space="preserve"> HYPERLINK "https://thuvienphapluat.vn/van-ban/Bo-may-hanh-chinh/Quyet-dinh-513-QD-TTg-phe-duyet-Du-an-Hoan-thien-hien-dai-hoa-ho-so-138702.aspx" \t "_blank" </w:instrText>
            </w:r>
            <w:r w:rsidRPr="00E00BCF">
              <w:rPr>
                <w:rFonts w:ascii="Times New Roman" w:hAnsi="Times New Roman" w:cs="Times New Roman"/>
                <w:sz w:val="24"/>
                <w:szCs w:val="24"/>
              </w:rPr>
              <w:fldChar w:fldCharType="separate"/>
            </w:r>
            <w:r w:rsidRPr="00E00BCF">
              <w:rPr>
                <w:rStyle w:val="Hyperlink"/>
                <w:rFonts w:ascii="Times New Roman" w:hAnsi="Times New Roman" w:cs="Times New Roman"/>
                <w:color w:val="auto"/>
                <w:sz w:val="24"/>
                <w:szCs w:val="24"/>
                <w:shd w:val="clear" w:color="auto" w:fill="FFFFFF"/>
              </w:rPr>
              <w:t>513/QĐ-TTg</w:t>
            </w:r>
            <w:r w:rsidRPr="00E00BCF">
              <w:rPr>
                <w:rFonts w:ascii="Times New Roman" w:hAnsi="Times New Roman" w:cs="Times New Roman"/>
                <w:sz w:val="24"/>
                <w:szCs w:val="24"/>
              </w:rPr>
              <w:fldChar w:fldCharType="end"/>
            </w:r>
            <w:bookmarkEnd w:id="82"/>
            <w:r w:rsidRPr="00E00BCF">
              <w:rPr>
                <w:rFonts w:ascii="Times New Roman" w:hAnsi="Times New Roman" w:cs="Times New Roman"/>
                <w:sz w:val="24"/>
                <w:szCs w:val="24"/>
                <w:shd w:val="clear" w:color="auto" w:fill="FFFFFF"/>
              </w:rPr>
              <w:t> ngày 02 tháng 5 năm 2012 của Thủ tướng Chính phủ về việc phê duyệt dự án “Hoàn thiện, hiện đại hoá hồ sơ bản đồ địa giới hành chính và cơ sở dữ liệu về địa giới hành chính”; trường hợp ranh giới giữa các tỉnh, thành phố trực thuộc trung ương có biển chưa được thỏa thuận thống nhất thì khu vực biển giáp ranh trong phạm vi chưa được thỏa thuận thống nhất được xác định là khu vực biển liên vùng; trường hợp dự án đầu tư nằm ngoài vùng biển 06 hải lý mà chưa xác định trách nhiệm quản lý hành chính trên biển của Ủy ban nhân dân cấp tỉnh thì việc giao khu vực biển thuộc thẩm quyền của Bộ Nông nghiệp và Môi trường;</w:t>
            </w:r>
          </w:p>
        </w:tc>
      </w:tr>
      <w:tr w:rsidR="00E00BCF" w:rsidRPr="00E00BCF" w:rsidTr="00091924">
        <w:trPr>
          <w:trHeight w:val="794"/>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ĐO ĐẠC VÀ BẢN ĐỒ</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Đo đạc và bản đồ</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58</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sv-SE"/>
              </w:rPr>
              <w:t>2. </w:t>
            </w:r>
            <w:r w:rsidRPr="00E00BCF">
              <w:rPr>
                <w:rFonts w:ascii="Times New Roman" w:eastAsia="Times New Roman" w:hAnsi="Times New Roman" w:cs="Times New Roman"/>
                <w:sz w:val="24"/>
                <w:szCs w:val="24"/>
              </w:rPr>
              <w:t>Ủy ban nhân dân </w:t>
            </w:r>
            <w:r w:rsidRPr="00E00BCF">
              <w:rPr>
                <w:rFonts w:ascii="Times New Roman" w:eastAsia="Times New Roman" w:hAnsi="Times New Roman" w:cs="Times New Roman"/>
                <w:sz w:val="24"/>
                <w:szCs w:val="24"/>
                <w:lang w:val="sv-SE"/>
              </w:rPr>
              <w:t>cấp huyện, trong phạm vi nhiệm vụ, quyền hạn của mình, có trách nhiệm sau đây:</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sv-SE"/>
              </w:rPr>
              <w:t>a) Tuyên truyền, phổ biến</w:t>
            </w:r>
            <w:r w:rsidRPr="00E00BCF">
              <w:rPr>
                <w:rFonts w:ascii="Times New Roman" w:eastAsia="Times New Roman" w:hAnsi="Times New Roman" w:cs="Times New Roman"/>
                <w:sz w:val="24"/>
                <w:szCs w:val="24"/>
              </w:rPr>
              <w:t>, </w:t>
            </w:r>
            <w:r w:rsidRPr="00E00BCF">
              <w:rPr>
                <w:rFonts w:ascii="Times New Roman" w:eastAsia="Times New Roman" w:hAnsi="Times New Roman" w:cs="Times New Roman"/>
                <w:sz w:val="24"/>
                <w:szCs w:val="24"/>
                <w:lang w:val="sv-SE"/>
              </w:rPr>
              <w:t>giáo dục pháp luật, theo dõi tình hình thi hành pháp luật về đo đạc và bản đồ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sv-SE"/>
              </w:rPr>
              <w:t>b) Thanh tra, kiểm tra, xử lý vi phạm pháp luật, giải quyết khiếu nại, tố cáo về đo đạc và bản đồ theo thẩm quyền;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sv-SE"/>
              </w:rPr>
              <w:t>c) Tham gia quản lý</w:t>
            </w:r>
            <w:r w:rsidRPr="00E00BCF">
              <w:rPr>
                <w:rFonts w:ascii="Times New Roman" w:eastAsia="Times New Roman" w:hAnsi="Times New Roman" w:cs="Times New Roman"/>
                <w:b/>
                <w:bCs/>
                <w:i/>
                <w:iCs/>
                <w:sz w:val="24"/>
                <w:szCs w:val="24"/>
                <w:lang w:val="sv-SE"/>
              </w:rPr>
              <w:t> </w:t>
            </w:r>
            <w:r w:rsidRPr="00E00BCF">
              <w:rPr>
                <w:rFonts w:ascii="Times New Roman" w:eastAsia="Times New Roman" w:hAnsi="Times New Roman" w:cs="Times New Roman"/>
                <w:sz w:val="24"/>
                <w:szCs w:val="24"/>
                <w:lang w:val="sv-SE"/>
              </w:rPr>
              <w:t>mốc đo đạc theo phân cấp của Ủy ban nhân dân cấp tỉnh;</w:t>
            </w:r>
          </w:p>
          <w:p w:rsidR="00E00BCF" w:rsidRPr="00E00BCF" w:rsidRDefault="00E00BCF" w:rsidP="00814E4D">
            <w:pPr>
              <w:shd w:val="clear" w:color="auto" w:fill="FFFFFF"/>
              <w:jc w:val="both"/>
              <w:rPr>
                <w:rFonts w:ascii="Times New Roman" w:hAnsi="Times New Roman" w:cs="Times New Roman"/>
                <w:bCs/>
                <w:sz w:val="24"/>
                <w:szCs w:val="24"/>
              </w:rPr>
            </w:pPr>
            <w:r w:rsidRPr="00E00BCF">
              <w:rPr>
                <w:rFonts w:ascii="Times New Roman" w:eastAsia="Times New Roman" w:hAnsi="Times New Roman" w:cs="Times New Roman"/>
                <w:sz w:val="24"/>
                <w:szCs w:val="24"/>
                <w:lang w:val="sv-SE"/>
              </w:rPr>
              <w:t>d) Thực hiện nhiệm vụ quản lý nhà nước về đo đạc và bản đồ khác theo phân cấp hoặc ủy quyền của cơ quan quản lý nhà nước cấp trên.</w:t>
            </w:r>
          </w:p>
        </w:tc>
      </w:tr>
      <w:tr w:rsidR="00E00BCF" w:rsidRPr="00E00BCF" w:rsidTr="00091924">
        <w:trPr>
          <w:trHeight w:val="870"/>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KHÍ TƯỢNG THUỶ VĂN</w:t>
            </w:r>
          </w:p>
        </w:tc>
      </w:tr>
      <w:tr w:rsidR="00E00BCF" w:rsidRPr="00E00BCF" w:rsidTr="00091924">
        <w:trPr>
          <w:trHeight w:val="455"/>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Luật Khí tượng thuỷ văn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53</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Ủy ban nhân dân huyện, quận, thị xã, thành phố thuộc tỉnh, thành phố thuộc thành phố trực thuộc Trung ương có trách nhiệm:</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b) Theo dõi, đánh giá, khai thác, sử dụng tin dự báo, cảnh báo khí tượng thủy văn phục vụ phát triển kinh tế - xã hội, phòng, chống thiên tai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c) Phổ biến, giáo dục pháp luật và tuyên truyền về khí tượng thủy văn; tham gia giải quyết, xử lý vi phạm về khí tượng thủy văn theo thẩm quyền;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d) Tổng hợp, báo cáo Ủy ban nhân dân cấp trên trực tiếp tình hình hoạt động khí tượng thủy văn, thiệt hại do thiên tai khí tượng thủy văn gây ra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đ) Tham gia giải quyết khiếu nại, tố cáo về khai thác, bảo vệ công trình khí tượng thủy văn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e) Thực hiện các nhiệm vụ quản lý nhà nước về hoạt động khí tượng thủy văn theo phân cấp hoặc ủy quyền của cơ quan quản lý nhà nước cấp trên.</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Quyết định số 18/2021/QĐ-TTg ngày 22 tháng 4 năm 2021 của Thủ tướng Chính phủ quy định về dự báo, cảnh báo, truyền tin thiên tai và cấp độ rủi ro thiên tai</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60:</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2. </w:t>
            </w:r>
            <w:r w:rsidRPr="00E00BCF">
              <w:rPr>
                <w:rFonts w:ascii="Times New Roman" w:eastAsia="Times New Roman" w:hAnsi="Times New Roman" w:cs="Times New Roman"/>
                <w:sz w:val="24"/>
                <w:szCs w:val="24"/>
                <w:lang w:val="vi-VN"/>
              </w:rPr>
              <w:t>Trách nhiệm của Ủy ban nhân dân cấp huyện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Tiếp nhận thông tin dự báo, cảnh báo thiên tai từ Ủy ban nhân dân tỉnh và Ban Chỉ huy phòng, chống thiên tai và tìm kiếm cứu nạn cấp tỉnh; chỉ đạo các cơ sở phát thanh cấp huyện, thị xã thực hiện các quy định truyền tin về thiên tai có liên quan trực tiếp đến địa phương.</w:t>
            </w:r>
          </w:p>
        </w:tc>
      </w:tr>
      <w:tr w:rsidR="00E00BCF" w:rsidRPr="00E00BCF" w:rsidTr="00091924">
        <w:trPr>
          <w:trHeight w:val="1110"/>
          <w:jc w:val="center"/>
        </w:trPr>
        <w:tc>
          <w:tcPr>
            <w:tcW w:w="846" w:type="dxa"/>
            <w:shd w:val="clear" w:color="auto" w:fill="auto"/>
            <w:vAlign w:val="center"/>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vAlign w:val="center"/>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LĨNH VỰC KINH TẾ HỢP TÁC VÀ PHÁT TRIỂN NÔNG THÔN, LĨNH VỰC GIẢM NGHÈO</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52/2018/NĐ-CP ngày 12 tháng 4 năm 2018 của Chính phủ về phát triển ngành nghề nông thôn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4 Điều 6</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a) Ủy ban nhân dân quận, huyện, thị xã, thành phố trực thuộc tỉnh, thành phố thuộc thành phố trực thuộc trung ương (sau đây gọi chung là Ủy ban nhân dân cấp huyện) lập hồ sơ đề nghị công nhận nghề truyền thống, làng nghề, làng nghề truyền thống theo tiêu chí quy định tại Điều 5 Nghị định này trình Ủy ban nhân dân cấp tỉnh xét công nhận.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6 và khoản 7 Điều 6</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6. Nghề truyền thống, làng nghề, làng nghề truyền thống sau khi được công nhận không đạt tiêu chí quy định sẽ bị thu hồi bằng công nhận. Ủy ban nhân dân cấp huyện có trách nhiệm tổng hợp danh sách, gửi Ủy ban nhân dân cấp tỉnh để xem xét, thu hồi bằng công nhận nghề truyền thống, làng nghề, làng nghề truyền thống.</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7. Ủy ban nhân dân cấp huyện báo cáo Ủy ban nhân dân cấp tỉnh việc quản lý bằng công nhận nghề truyền thống, làng nghề, làng nghề truyền thống và tình hình thực hiện các quy định về tiêu chí công nhận nghề truyền thống, làng nghề, làng nghề truyền thống trên địa bàn định kỳ một năm một lần trước ngày 30 tháng 11 hằng năm hoặc đột xuất theo yêu cầu để tổng hợp gửi báo cáo Bộ Nông nghiệp và Phát triển nông thôn.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và khoản 7 Điều 23</w:t>
            </w:r>
          </w:p>
          <w:p w:rsidR="00E00BCF" w:rsidRPr="00E00BCF" w:rsidRDefault="00E00BCF" w:rsidP="00814E4D">
            <w:pPr>
              <w:jc w:val="both"/>
              <w:rPr>
                <w:rFonts w:ascii="Times New Roman" w:hAnsi="Times New Roman" w:cs="Times New Roman"/>
                <w:sz w:val="24"/>
                <w:szCs w:val="24"/>
                <w:shd w:val="clear" w:color="auto" w:fill="FFFFFF"/>
              </w:rPr>
            </w:pPr>
            <w:r w:rsidRPr="00E00BCF">
              <w:rPr>
                <w:rFonts w:ascii="Times New Roman" w:hAnsi="Times New Roman" w:cs="Times New Roman"/>
                <w:sz w:val="24"/>
                <w:szCs w:val="24"/>
                <w:shd w:val="clear" w:color="auto" w:fill="FFFFFF"/>
              </w:rPr>
              <w:t>3. Chỉ đạo Sở Nông nghiệp và Phát triển nông thôn thực hiện quản lý nhà nước đối với làng nghề, ngành nghề nông thôn. Hàng năm, Sở Nông nghiệp và Phát triển nông thôn chủ trì, phối hợp với Ủy ban nhân dân cấp huyện hướng dẫn xây dựng và tổng hợp kế hoạch phát triển ngành nghề nông thôn, trình cấp có thẩm quyền phê duyệt trong kế hoạch phát triển nông nghiệp, nông thôn địa phương.</w:t>
            </w:r>
          </w:p>
          <w:p w:rsidR="00E00BCF" w:rsidRPr="00E00BCF" w:rsidRDefault="00E00BCF" w:rsidP="00814E4D">
            <w:pPr>
              <w:jc w:val="both"/>
              <w:rPr>
                <w:rFonts w:ascii="Times New Roman" w:hAnsi="Times New Roman" w:cs="Times New Roman"/>
                <w:sz w:val="24"/>
                <w:szCs w:val="24"/>
                <w:shd w:val="clear" w:color="auto" w:fill="FFFFFF"/>
              </w:rPr>
            </w:pP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7. Chỉ đạo Ủy ban nhân dân cấp huyện xây dựng, tổng hợp dự toán kinh phí phát triển ngành nghề nông thôn vào dự toán ngân sách hàng năm của địa phương, trình cơ quan có thẩm quyền phê duyệt theo quy định của pháp luật. Ngoài nguồn kinh phí bố trí trực tiếp thực hiện chính sách này, các địa phương có trách nhiệm bố trí, cân đối thêm từ các nguồn kinh phí các chương trình, dự án khác và nguồn hỗ trợ từ các tổ chức quốc tế để hỗ trợ phát triển ngành nghề nông thôn.</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Nghị định số 98/2018/NĐ-CP ngày 05 tháng 7 năm 2018 của Chính phủ về chính sách khuyến khích phát triển hợp tác, liên kết trong sản xuất và tiêu thụ sản phẩm nông nghiệp</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a khoản 2 Điều 12</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a) Trường hợp Ủy ban nhân dân cấp tỉnh phê duyệt hỗ trợ dự án liên kết: Chủ trì liên kết gửi 01 bộ hồ sơ tới Sở Nông nghiệp và Phát triển nông thôn. Sau khi nhận đủ hồ sơ theo quy định tại khoản 1 Điều này từ chủ trì liên kết, Sở Nông nghiệp và Phát triển nông thôn thành lập Hội đồng thẩm định hồ sơ. Hội đồng thẩm định gồm lãnh đạo Sở Nông nghiệp và Phát triển nông thôn là Chủ tịch Hội đồng, các thành viên là đại diện Sở Kế hoạch và Đầu tư, Sở Tài chính, các sở ngành liên quan và lãnh đạo Ủy ban nhân dân các huyện có liên quan. Trong thời hạn 15 ngày làm việc sau khi nhận được hồ sơ, Hội đồng tổ chức thẩm định, nếu hồ sơ đủ điều kiện thì Sở Nông nghiệp và Phát triển nông thôn có tờ trình trình Ủy ban nhân dân cấp tỉnh xem xét phê duyệt. Nếu hồ sơ không đủ điều kiện thì trong vòng 10 ngày làm việc kể từ khi thẩm định, Sở Nông nghiệp và Phát triển nông thôn phải thông báo và nêu rõ lý do cho chủ trì liên kết được biết. Trong thời hạn 10 ngày làm việc sau khi nhận được tờ trình của Sở Nông nghiệp và Phát triển nông thôn, Ủy ban nhân dân cấp tỉnh ra quyết định phê duyệt hỗ trợ dự án liên kết;</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b khoản 2 Điều 12</w:t>
            </w:r>
          </w:p>
          <w:p w:rsidR="00E00BCF" w:rsidRPr="00E00BCF" w:rsidRDefault="00E00BCF" w:rsidP="00814E4D">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b) Trường hợp Ủy ban nhân dân cấp huyện phê duyệt hỗ trợ liên kết, giao Phòng Nông nghiệp (hoặc Phòng Kinh tế) thực hiện theo trình tự thủ tục quy định tại điểm a khoản 2 Điều này.</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3 và 4 Điều 17</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3. Phê duyệt hỗ trợ liên kết trên địa bàn theo thẩm quyền. Quy định phân cấp Ủy ban nhân dân cấp huyện phê duyệt hỗ trợ liên kết trên địa bàn theo quy mô vốn đầu tư và địa bàn thực hiện liên kết.</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t>4. Chỉ đạo các cơ quan chuyên môn, Ủy ban nhân dân cấp huyện, xã xây dựng kế hoạch, hướng dẫn, tổ chức thực hiện và kiểm tra tình hình thực hiện trên địa bàn tỉnh. Bố trí ngân sách hỗ trợ liên kết theo quy định tại Nghị định này.</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Quyết định số 64/2014/QĐ-TTg ngày 18 tháng 11 năm 2014 của Thủ tướng Chính phủ về Chính sách đặc thù về di dân, tái định cư các dự án thủy lợi, thủy điện</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shd w:val="clear" w:color="auto" w:fill="FFFFFF"/>
              <w:jc w:val="both"/>
              <w:rPr>
                <w:rFonts w:ascii="Times New Roman" w:eastAsia="Times New Roman" w:hAnsi="Times New Roman" w:cs="Times New Roman"/>
                <w:sz w:val="24"/>
                <w:szCs w:val="24"/>
              </w:rPr>
            </w:pPr>
            <w:bookmarkStart w:id="83" w:name="dieu_20"/>
            <w:r w:rsidRPr="00E00BCF">
              <w:rPr>
                <w:rFonts w:ascii="Times New Roman" w:eastAsia="Times New Roman" w:hAnsi="Times New Roman" w:cs="Times New Roman"/>
                <w:b/>
                <w:bCs/>
                <w:sz w:val="24"/>
                <w:szCs w:val="24"/>
              </w:rPr>
              <w:t>Điều 20. Trách nhiệm của Chủ đầu tư</w:t>
            </w:r>
            <w:bookmarkEnd w:id="83"/>
          </w:p>
          <w:p w:rsidR="00E00BCF" w:rsidRPr="00E00BCF" w:rsidRDefault="00E00BCF" w:rsidP="00B14667">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rPr>
              <w:lastRenderedPageBreak/>
              <w:t>Chủ đầu tư các công trình thủy lợi, thủy điện: Phối hợp chặt chẽ với </w:t>
            </w:r>
            <w:r w:rsidRPr="00E00BCF">
              <w:rPr>
                <w:rFonts w:ascii="Times New Roman" w:eastAsia="Times New Roman" w:hAnsi="Times New Roman" w:cs="Times New Roman"/>
                <w:sz w:val="24"/>
                <w:szCs w:val="24"/>
                <w:shd w:val="clear" w:color="auto" w:fill="FFFFFF"/>
              </w:rPr>
              <w:t>Ủy ban</w:t>
            </w:r>
            <w:r w:rsidRPr="00E00BCF">
              <w:rPr>
                <w:rFonts w:ascii="Times New Roman" w:eastAsia="Times New Roman" w:hAnsi="Times New Roman" w:cs="Times New Roman"/>
                <w:sz w:val="24"/>
                <w:szCs w:val="24"/>
              </w:rPr>
              <w:t> nhân dân cấp tỉnh, huyện, xã có công trình để tổ chức thực hiện có hiệu quả dự án; bảo đảm kinh phí và kịp thời cho công tác bồi thường, hỗ trợ tái định cư của các dự án tại các địa phương.</w:t>
            </w:r>
          </w:p>
        </w:tc>
      </w:tr>
      <w:tr w:rsidR="00E00BCF" w:rsidRPr="00E00BCF" w:rsidTr="00091924">
        <w:trPr>
          <w:jc w:val="center"/>
        </w:trPr>
        <w:tc>
          <w:tcPr>
            <w:tcW w:w="846" w:type="dxa"/>
            <w:shd w:val="clear" w:color="auto" w:fill="auto"/>
          </w:tcPr>
          <w:p w:rsidR="00E00BCF" w:rsidRPr="00091924" w:rsidRDefault="00E00BCF" w:rsidP="00814E4D">
            <w:pPr>
              <w:pStyle w:val="ListParagraph"/>
              <w:numPr>
                <w:ilvl w:val="0"/>
                <w:numId w:val="1"/>
              </w:numPr>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Quyết định số 24/2021/QĐ-TTg ngày 16 tháng 7 năm 2021 của Thủ tướng Chính phủ quy định quy trình rà soát hộ nghèo, hộ cận nghèo hằng năm và quy trình xác định hộ làm nông nghiệp, lâm nghiệp, ngư nghiệp và diêm nghiệp có mức sống trung bình giai đoạn 2022 - 2025</w:t>
            </w:r>
          </w:p>
        </w:tc>
      </w:tr>
      <w:tr w:rsidR="00E00BCF" w:rsidRPr="00E00BCF" w:rsidTr="00091924">
        <w:trPr>
          <w:jc w:val="center"/>
        </w:trPr>
        <w:tc>
          <w:tcPr>
            <w:tcW w:w="846" w:type="dxa"/>
            <w:shd w:val="clear" w:color="auto" w:fill="auto"/>
          </w:tcPr>
          <w:p w:rsidR="00E00BCF" w:rsidRPr="00091924" w:rsidRDefault="00E00BCF" w:rsidP="00814E4D">
            <w:pPr>
              <w:ind w:left="360"/>
              <w:rPr>
                <w:rFonts w:ascii="Times New Roman" w:hAnsi="Times New Roman" w:cs="Times New Roman"/>
                <w:b/>
                <w:sz w:val="24"/>
                <w:szCs w:val="24"/>
              </w:rPr>
            </w:pPr>
          </w:p>
        </w:tc>
        <w:tc>
          <w:tcPr>
            <w:tcW w:w="14039" w:type="dxa"/>
            <w:shd w:val="clear" w:color="auto" w:fill="auto"/>
          </w:tcPr>
          <w:p w:rsidR="00E00BCF" w:rsidRPr="00E00BCF" w:rsidRDefault="00E00BCF" w:rsidP="00814E4D">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5 và 6 Điều 4</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5. Báo cáo, xin ý kiến của Chủ tịch Ủy ban nhân dân cấp huyện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a) Chủ tịch Ủy ban nhân dân cấp xã báo cáo bằng văn bản, gửi Chủ tịch Ủy ban nhân dân cấp huyện về kết quả rà soát hộ nghèo, hộ cận nghèo trên địa bàn.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b) Trong thời gian 05 ngày làm việc, kể từ ngày nhận được báo cáo của Chủ tịch Ủy ban nhân dân cấp xã, Chủ tịch Ủy ban nhân dân cấp huyện có ý kiến trả lời bằng văn bản.</w:t>
            </w:r>
          </w:p>
          <w:p w:rsidR="00E00BCF" w:rsidRPr="00E00BCF" w:rsidRDefault="00E00BCF" w:rsidP="00814E4D">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6. Công nhận hộ nghèo, hộ cận nghèo và hộ thoát nghèo, hộ thoát cận nghèo</w:t>
            </w:r>
          </w:p>
          <w:p w:rsidR="00E00BCF" w:rsidRPr="00E00BCF" w:rsidRDefault="00E00BCF" w:rsidP="00B14667">
            <w:pPr>
              <w:shd w:val="clear" w:color="auto" w:fill="FFFFFF"/>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Chủ tịch Ủy ban nhân dân cấp xã tiếp thu ý kiến của Chủ tịch Ủy ban nhân dân cấp huyện, quyết định công nhận danh sách hộ nghèo, hộ cận nghèo và danh sách hộ thoát nghèo, hộ thoát cận nghèo trên địa bàn theo </w:t>
            </w:r>
            <w:bookmarkStart w:id="84" w:name="bieumau_ms_02"/>
            <w:r w:rsidRPr="00E00BCF">
              <w:rPr>
                <w:rFonts w:ascii="Times New Roman" w:eastAsia="Times New Roman" w:hAnsi="Times New Roman" w:cs="Times New Roman"/>
                <w:sz w:val="24"/>
                <w:szCs w:val="24"/>
                <w:lang w:val="vi-VN"/>
              </w:rPr>
              <w:t>Mẫu số 02</w:t>
            </w:r>
            <w:bookmarkEnd w:id="84"/>
            <w:r w:rsidRPr="00E00BCF">
              <w:rPr>
                <w:rFonts w:ascii="Times New Roman" w:eastAsia="Times New Roman" w:hAnsi="Times New Roman" w:cs="Times New Roman"/>
                <w:sz w:val="24"/>
                <w:szCs w:val="24"/>
                <w:lang w:val="vi-VN"/>
              </w:rPr>
              <w:t> và cấp Giấy chứng nhận cho hộ nghèo, hộ cận nghèo theo Mẫu số 03 tại Phụ lục ban hành kèm theo Quyết định này.</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điểm c khoản 1 Điều 10</w:t>
            </w:r>
          </w:p>
          <w:p w:rsidR="00E00BCF" w:rsidRPr="00E00BCF" w:rsidRDefault="00E00BCF" w:rsidP="0027089E">
            <w:pPr>
              <w:jc w:val="both"/>
              <w:rPr>
                <w:rFonts w:ascii="Times New Roman" w:hAnsi="Times New Roman" w:cs="Times New Roman"/>
                <w:bCs/>
                <w:sz w:val="24"/>
                <w:szCs w:val="24"/>
              </w:rPr>
            </w:pPr>
            <w:r w:rsidRPr="00E00BCF">
              <w:rPr>
                <w:rFonts w:ascii="Times New Roman" w:hAnsi="Times New Roman" w:cs="Times New Roman"/>
                <w:sz w:val="24"/>
                <w:szCs w:val="24"/>
                <w:shd w:val="clear" w:color="auto" w:fill="FFFFFF"/>
              </w:rPr>
              <w:t>c) Chỉ đạo Ủy ban nhân dân cấp huyện tổ chức thực hiện kế hoạch rà soát hộ nghèo, hộ cận nghèo trên địa bàn.</w:t>
            </w:r>
          </w:p>
        </w:tc>
      </w:tr>
      <w:tr w:rsidR="00E00BCF" w:rsidRPr="00E00BCF" w:rsidTr="00091924">
        <w:trPr>
          <w:jc w:val="center"/>
        </w:trPr>
        <w:tc>
          <w:tcPr>
            <w:tcW w:w="846" w:type="dxa"/>
            <w:shd w:val="clear" w:color="auto" w:fill="auto"/>
          </w:tcPr>
          <w:p w:rsidR="00E00BCF" w:rsidRPr="00091924" w:rsidRDefault="00E00BCF" w:rsidP="0027089E">
            <w:pPr>
              <w:ind w:left="360"/>
              <w:rPr>
                <w:rFonts w:ascii="Times New Roman" w:hAnsi="Times New Roman" w:cs="Times New Roman"/>
                <w:b/>
                <w:sz w:val="24"/>
                <w:szCs w:val="24"/>
              </w:rPr>
            </w:pPr>
          </w:p>
        </w:tc>
        <w:tc>
          <w:tcPr>
            <w:tcW w:w="14039" w:type="dxa"/>
            <w:shd w:val="clear" w:color="auto" w:fill="auto"/>
          </w:tcPr>
          <w:p w:rsidR="00E00BCF" w:rsidRPr="00E00BCF" w:rsidRDefault="00E00BCF" w:rsidP="0027089E">
            <w:pPr>
              <w:jc w:val="both"/>
              <w:rPr>
                <w:rFonts w:ascii="Times New Roman" w:hAnsi="Times New Roman" w:cs="Times New Roman"/>
                <w:b/>
                <w:bCs/>
                <w:sz w:val="24"/>
                <w:szCs w:val="24"/>
              </w:rPr>
            </w:pPr>
            <w:r w:rsidRPr="00E00BCF">
              <w:rPr>
                <w:rFonts w:ascii="Times New Roman" w:hAnsi="Times New Roman" w:cs="Times New Roman"/>
                <w:b/>
                <w:bCs/>
                <w:sz w:val="24"/>
                <w:szCs w:val="24"/>
              </w:rPr>
              <w:t>khoản 2 Điều 10</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2. Trách nhiệm của </w:t>
            </w:r>
            <w:r w:rsidRPr="00E00BCF">
              <w:rPr>
                <w:rFonts w:ascii="Times New Roman" w:eastAsia="Times New Roman" w:hAnsi="Times New Roman" w:cs="Times New Roman"/>
                <w:sz w:val="24"/>
                <w:szCs w:val="24"/>
                <w:shd w:val="clear" w:color="auto" w:fill="FFFFFF"/>
                <w:lang w:val="vi-VN"/>
              </w:rPr>
              <w:t>Ủy ban</w:t>
            </w:r>
            <w:r w:rsidRPr="00E00BCF">
              <w:rPr>
                <w:rFonts w:ascii="Times New Roman" w:eastAsia="Times New Roman" w:hAnsi="Times New Roman" w:cs="Times New Roman"/>
                <w:sz w:val="24"/>
                <w:szCs w:val="24"/>
                <w:lang w:val="vi-VN"/>
              </w:rPr>
              <w:t> nhân dân cấp huyện</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a) Thành lập Ban Chỉ đạo rà soát hộ nghèo, hộ cận nghèo cấp huyện do Chủ tịch Ủy ban nhân dân cấp huyện làm Trưởng ban, lãnh đạo cơ quan Lao động - Thương binh và Xã hội làm Phó Trưởng ban, thành viên là lãnh đạo các đơn vị: Tài chính, Kế hoạch và Đầu tư, Y tế, Giáo dục, Xây dựng, Thông tin và Truyền thông, Nông nghiệp và Phát triển nông thôn, bộ phận Thống kê, phòng Giao dịch Ngân hàng Chính sách xã hội cấp huyện và các cơ quan, đơn vị liên quan.</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Ban Chỉ đạo rà soát hộ nghèo, hộ cận nghèo cấp huyện giúp Chủ tịch Ủy ban nhân dân cấp huyện:</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 Xây dựng kế hoạch rà soát hộ nghèo, hộ cận nghèo hằng năm trên địa bàn.</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 Tổ chức tập huấn quy trình và bộ công cụ rà soát hộ nghèo, hộ cận nghèo hằng năm và quy trình xác định hộ làm nông nghiệp, lâm nghiệp, ngư nghiệp và diêm nghiệp có mức sống trung bình trên địa bàn.</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 Chỉ đạo tổ chức rà soát hộ nghèo, hộ cận nghèo hằng năm và xác định hộ làm nông nghiệp, lâm nghiệp, ngư nghiệp và diêm nghiệp có mức sống trung bình trên địa bàn; theo dõi, kiểm tra, hướng dẫn, đôn đốc </w:t>
            </w:r>
            <w:r w:rsidRPr="00E00BCF">
              <w:rPr>
                <w:rFonts w:ascii="Times New Roman" w:eastAsia="Times New Roman" w:hAnsi="Times New Roman" w:cs="Times New Roman"/>
                <w:sz w:val="24"/>
                <w:szCs w:val="24"/>
                <w:shd w:val="clear" w:color="auto" w:fill="FFFFFF"/>
                <w:lang w:val="vi-VN"/>
              </w:rPr>
              <w:t>thực hiện</w:t>
            </w:r>
            <w:r w:rsidRPr="00E00BCF">
              <w:rPr>
                <w:rFonts w:ascii="Times New Roman" w:eastAsia="Times New Roman" w:hAnsi="Times New Roman" w:cs="Times New Roman"/>
                <w:sz w:val="24"/>
                <w:szCs w:val="24"/>
                <w:lang w:val="vi-VN"/>
              </w:rPr>
              <w:t>.</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b) Ban hành và chỉ đạo triển khai kế hoạch rà soát hộ nghèo, hộ cận nghèo hằng năm trên địa bàn.</w:t>
            </w:r>
          </w:p>
          <w:p w:rsidR="00E00BCF" w:rsidRPr="00E00BCF" w:rsidRDefault="00E00BCF" w:rsidP="0027089E">
            <w:pPr>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c) Chỉ đạo Chủ tịch Ủy ban nhân dân cấp xã tổ chức rà soát hộ nghèo, hộ cận nghèo trên địa bàn.</w:t>
            </w:r>
          </w:p>
          <w:p w:rsidR="00E00BCF" w:rsidRPr="00E00BCF" w:rsidRDefault="00E00BCF" w:rsidP="0027089E">
            <w:pPr>
              <w:jc w:val="both"/>
              <w:rPr>
                <w:rFonts w:ascii="Times New Roman" w:eastAsia="Times New Roman" w:hAnsi="Times New Roman" w:cs="Times New Roman"/>
                <w:sz w:val="24"/>
                <w:szCs w:val="24"/>
                <w:lang w:val="vi-VN"/>
              </w:rPr>
            </w:pPr>
            <w:r w:rsidRPr="00E00BCF">
              <w:rPr>
                <w:rFonts w:ascii="Times New Roman" w:eastAsia="Times New Roman" w:hAnsi="Times New Roman" w:cs="Times New Roman"/>
                <w:sz w:val="24"/>
                <w:szCs w:val="24"/>
                <w:lang w:val="vi-VN"/>
              </w:rPr>
              <w:t>d) Có ý kiến về báo cáo kết quả rà soát hộ nghèo, hộ cận nghèo hằng năm của Chủ tịch Ủy ban nhân dân cấp xã; tổng hợp, phê duyệt kết quả rà soát hộ nghèo, hộ cận nghèo hằng năm trên địa bàn và báo cáo Chủ tịch Ủy ban nhân dân cấp tỉnh theo quy định tại Điều 7 Quyết định này.</w:t>
            </w:r>
          </w:p>
          <w:p w:rsidR="00E00BCF" w:rsidRPr="00E00BCF" w:rsidRDefault="00E00BCF" w:rsidP="0027089E">
            <w:pPr>
              <w:jc w:val="both"/>
              <w:rPr>
                <w:rFonts w:ascii="Times New Roman" w:eastAsia="Times New Roman" w:hAnsi="Times New Roman" w:cs="Times New Roman"/>
                <w:sz w:val="24"/>
                <w:szCs w:val="24"/>
              </w:rPr>
            </w:pPr>
            <w:r w:rsidRPr="00E00BCF">
              <w:rPr>
                <w:rFonts w:ascii="Times New Roman" w:eastAsia="Times New Roman" w:hAnsi="Times New Roman" w:cs="Times New Roman"/>
                <w:sz w:val="24"/>
                <w:szCs w:val="24"/>
                <w:lang w:val="vi-VN"/>
              </w:rPr>
              <w:t>đ) Ứng dụng công nghệ thông tin trong việc rà soát, quản lý hộ nghèo, hộ cận nghèo và hộ có mức sống trung bình trên địa bàn.</w:t>
            </w:r>
          </w:p>
        </w:tc>
      </w:tr>
    </w:tbl>
    <w:p w:rsidR="00E50A66" w:rsidRPr="00230C7D" w:rsidRDefault="00E50A66">
      <w:pPr>
        <w:rPr>
          <w:rFonts w:ascii="Times New Roman" w:hAnsi="Times New Roman" w:cs="Times New Roman"/>
          <w:color w:val="000000" w:themeColor="text1"/>
          <w:sz w:val="20"/>
          <w:szCs w:val="20"/>
        </w:rPr>
      </w:pPr>
    </w:p>
    <w:sectPr w:rsidR="00E50A66" w:rsidRPr="00230C7D" w:rsidSect="009E22C5">
      <w:headerReference w:type="default" r:id="rId9"/>
      <w:pgSz w:w="16840" w:h="11907" w:orient="landscape" w:code="9"/>
      <w:pgMar w:top="1134" w:right="1134" w:bottom="1134" w:left="1701"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E3A" w:rsidRDefault="008E1E3A" w:rsidP="00331E9E">
      <w:pPr>
        <w:spacing w:after="0" w:line="240" w:lineRule="auto"/>
      </w:pPr>
      <w:r>
        <w:separator/>
      </w:r>
    </w:p>
  </w:endnote>
  <w:endnote w:type="continuationSeparator" w:id="0">
    <w:p w:rsidR="008E1E3A" w:rsidRDefault="008E1E3A" w:rsidP="00331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E3A" w:rsidRDefault="008E1E3A" w:rsidP="00331E9E">
      <w:pPr>
        <w:spacing w:after="0" w:line="240" w:lineRule="auto"/>
      </w:pPr>
      <w:r>
        <w:separator/>
      </w:r>
    </w:p>
  </w:footnote>
  <w:footnote w:type="continuationSeparator" w:id="0">
    <w:p w:rsidR="008E1E3A" w:rsidRDefault="008E1E3A" w:rsidP="00331E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625126"/>
      <w:docPartObj>
        <w:docPartGallery w:val="Page Numbers (Top of Page)"/>
        <w:docPartUnique/>
      </w:docPartObj>
    </w:sdtPr>
    <w:sdtEndPr>
      <w:rPr>
        <w:noProof/>
      </w:rPr>
    </w:sdtEndPr>
    <w:sdtContent>
      <w:p w:rsidR="00D44544" w:rsidRDefault="00D44544">
        <w:pPr>
          <w:pStyle w:val="Header"/>
          <w:jc w:val="center"/>
        </w:pPr>
        <w:r>
          <w:fldChar w:fldCharType="begin"/>
        </w:r>
        <w:r>
          <w:instrText xml:space="preserve"> PAGE   \* MERGEFORMAT </w:instrText>
        </w:r>
        <w:r>
          <w:fldChar w:fldCharType="separate"/>
        </w:r>
        <w:r w:rsidR="007C212C">
          <w:rPr>
            <w:noProof/>
          </w:rPr>
          <w:t>2</w:t>
        </w:r>
        <w:r>
          <w:rPr>
            <w:noProof/>
          </w:rPr>
          <w:fldChar w:fldCharType="end"/>
        </w:r>
      </w:p>
    </w:sdtContent>
  </w:sdt>
  <w:p w:rsidR="00D44544" w:rsidRDefault="00D4454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021AD"/>
    <w:multiLevelType w:val="hybridMultilevel"/>
    <w:tmpl w:val="517A1C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F66350"/>
    <w:multiLevelType w:val="hybridMultilevel"/>
    <w:tmpl w:val="7B4A3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3" w15:restartNumberingAfterBreak="0">
    <w:nsid w:val="24091847"/>
    <w:multiLevelType w:val="hybridMultilevel"/>
    <w:tmpl w:val="3080E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0650C6"/>
    <w:multiLevelType w:val="hybridMultilevel"/>
    <w:tmpl w:val="0FE0618E"/>
    <w:lvl w:ilvl="0" w:tplc="B74EA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762C94"/>
    <w:multiLevelType w:val="hybridMultilevel"/>
    <w:tmpl w:val="CD9C8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BF420C"/>
    <w:multiLevelType w:val="hybridMultilevel"/>
    <w:tmpl w:val="031A3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9249AB"/>
    <w:multiLevelType w:val="hybridMultilevel"/>
    <w:tmpl w:val="B0BE1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3D031D"/>
    <w:multiLevelType w:val="hybridMultilevel"/>
    <w:tmpl w:val="44D03038"/>
    <w:lvl w:ilvl="0" w:tplc="7B3881D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BE58BB"/>
    <w:multiLevelType w:val="hybridMultilevel"/>
    <w:tmpl w:val="F1D63E88"/>
    <w:lvl w:ilvl="0" w:tplc="76C010C0">
      <w:start w:val="1"/>
      <w:numFmt w:val="decimal"/>
      <w:pStyle w:val="Dieu"/>
      <w:lvlText w:val="Điều %1."/>
      <w:lvlJc w:val="left"/>
      <w:pPr>
        <w:ind w:left="644" w:hanging="360"/>
      </w:pPr>
      <w:rPr>
        <w:rFonts w:ascii="Times New Roman" w:hAnsi="Times New Roman" w:cs="Times New Roman" w:hint="default"/>
        <w:b/>
        <w:i w:val="0"/>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0" w15:restartNumberingAfterBreak="0">
    <w:nsid w:val="480C365D"/>
    <w:multiLevelType w:val="hybridMultilevel"/>
    <w:tmpl w:val="97B46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880B9D"/>
    <w:multiLevelType w:val="hybridMultilevel"/>
    <w:tmpl w:val="F0188C10"/>
    <w:lvl w:ilvl="0" w:tplc="B74EA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A6CA8"/>
    <w:multiLevelType w:val="hybridMultilevel"/>
    <w:tmpl w:val="6ABC50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97D63"/>
    <w:multiLevelType w:val="hybridMultilevel"/>
    <w:tmpl w:val="3D506F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50438"/>
    <w:multiLevelType w:val="hybridMultilevel"/>
    <w:tmpl w:val="090C65BE"/>
    <w:lvl w:ilvl="0" w:tplc="238AC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903115D"/>
    <w:multiLevelType w:val="hybridMultilevel"/>
    <w:tmpl w:val="4A809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E7426D"/>
    <w:multiLevelType w:val="hybridMultilevel"/>
    <w:tmpl w:val="340409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13B4C"/>
    <w:multiLevelType w:val="hybridMultilevel"/>
    <w:tmpl w:val="163C7F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B00E2"/>
    <w:multiLevelType w:val="hybridMultilevel"/>
    <w:tmpl w:val="03E27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902198"/>
    <w:multiLevelType w:val="hybridMultilevel"/>
    <w:tmpl w:val="007E3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1F7099"/>
    <w:multiLevelType w:val="hybridMultilevel"/>
    <w:tmpl w:val="CAE653CE"/>
    <w:lvl w:ilvl="0" w:tplc="7B3881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27C4F97"/>
    <w:multiLevelType w:val="hybridMultilevel"/>
    <w:tmpl w:val="3DD21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C132A7"/>
    <w:multiLevelType w:val="hybridMultilevel"/>
    <w:tmpl w:val="F7B6C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9"/>
  </w:num>
  <w:num w:numId="4">
    <w:abstractNumId w:val="2"/>
  </w:num>
  <w:num w:numId="5">
    <w:abstractNumId w:val="21"/>
  </w:num>
  <w:num w:numId="6">
    <w:abstractNumId w:val="0"/>
  </w:num>
  <w:num w:numId="7">
    <w:abstractNumId w:val="16"/>
  </w:num>
  <w:num w:numId="8">
    <w:abstractNumId w:val="19"/>
  </w:num>
  <w:num w:numId="9">
    <w:abstractNumId w:val="5"/>
  </w:num>
  <w:num w:numId="10">
    <w:abstractNumId w:val="6"/>
  </w:num>
  <w:num w:numId="11">
    <w:abstractNumId w:val="7"/>
  </w:num>
  <w:num w:numId="12">
    <w:abstractNumId w:val="15"/>
  </w:num>
  <w:num w:numId="13">
    <w:abstractNumId w:val="10"/>
  </w:num>
  <w:num w:numId="14">
    <w:abstractNumId w:val="12"/>
  </w:num>
  <w:num w:numId="15">
    <w:abstractNumId w:val="18"/>
  </w:num>
  <w:num w:numId="16">
    <w:abstractNumId w:val="17"/>
  </w:num>
  <w:num w:numId="17">
    <w:abstractNumId w:val="8"/>
  </w:num>
  <w:num w:numId="18">
    <w:abstractNumId w:val="20"/>
  </w:num>
  <w:num w:numId="19">
    <w:abstractNumId w:val="4"/>
  </w:num>
  <w:num w:numId="20">
    <w:abstractNumId w:val="13"/>
  </w:num>
  <w:num w:numId="21">
    <w:abstractNumId w:val="3"/>
  </w:num>
  <w:num w:numId="22">
    <w:abstractNumId w:val="22"/>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33C"/>
    <w:rsid w:val="00000076"/>
    <w:rsid w:val="00006A5C"/>
    <w:rsid w:val="00010E21"/>
    <w:rsid w:val="00010EB8"/>
    <w:rsid w:val="00012D1E"/>
    <w:rsid w:val="00020B2A"/>
    <w:rsid w:val="00021990"/>
    <w:rsid w:val="00024BEF"/>
    <w:rsid w:val="00027AA1"/>
    <w:rsid w:val="0003000D"/>
    <w:rsid w:val="00030E1D"/>
    <w:rsid w:val="00032C12"/>
    <w:rsid w:val="00034181"/>
    <w:rsid w:val="000345BC"/>
    <w:rsid w:val="00034B1E"/>
    <w:rsid w:val="00034F3A"/>
    <w:rsid w:val="00035404"/>
    <w:rsid w:val="00036463"/>
    <w:rsid w:val="00036C1C"/>
    <w:rsid w:val="00041D02"/>
    <w:rsid w:val="000443DC"/>
    <w:rsid w:val="000621CC"/>
    <w:rsid w:val="00064D47"/>
    <w:rsid w:val="00067182"/>
    <w:rsid w:val="000723F5"/>
    <w:rsid w:val="0007279C"/>
    <w:rsid w:val="00075447"/>
    <w:rsid w:val="000770E0"/>
    <w:rsid w:val="00077297"/>
    <w:rsid w:val="00081C8A"/>
    <w:rsid w:val="0008386B"/>
    <w:rsid w:val="00091924"/>
    <w:rsid w:val="000931A9"/>
    <w:rsid w:val="000970E1"/>
    <w:rsid w:val="00097C4F"/>
    <w:rsid w:val="000A1E6B"/>
    <w:rsid w:val="000B177D"/>
    <w:rsid w:val="000B36A0"/>
    <w:rsid w:val="000B593E"/>
    <w:rsid w:val="000D2AD5"/>
    <w:rsid w:val="000D2FF7"/>
    <w:rsid w:val="000D30B8"/>
    <w:rsid w:val="000D34B2"/>
    <w:rsid w:val="000D367B"/>
    <w:rsid w:val="000D6540"/>
    <w:rsid w:val="000D6851"/>
    <w:rsid w:val="000D7874"/>
    <w:rsid w:val="000D7D80"/>
    <w:rsid w:val="000E10D7"/>
    <w:rsid w:val="000E1D68"/>
    <w:rsid w:val="000E2450"/>
    <w:rsid w:val="000E4E22"/>
    <w:rsid w:val="000E6051"/>
    <w:rsid w:val="000E79E5"/>
    <w:rsid w:val="000F743A"/>
    <w:rsid w:val="00105B84"/>
    <w:rsid w:val="00114682"/>
    <w:rsid w:val="00114C29"/>
    <w:rsid w:val="001233C5"/>
    <w:rsid w:val="00127744"/>
    <w:rsid w:val="00131A9B"/>
    <w:rsid w:val="00135F93"/>
    <w:rsid w:val="00136066"/>
    <w:rsid w:val="00136DE2"/>
    <w:rsid w:val="0013717D"/>
    <w:rsid w:val="001406A9"/>
    <w:rsid w:val="00143D9F"/>
    <w:rsid w:val="001516DD"/>
    <w:rsid w:val="00156DA0"/>
    <w:rsid w:val="0015744A"/>
    <w:rsid w:val="00164CE1"/>
    <w:rsid w:val="00171CD7"/>
    <w:rsid w:val="00175EE5"/>
    <w:rsid w:val="00181FDB"/>
    <w:rsid w:val="00182E55"/>
    <w:rsid w:val="00184D42"/>
    <w:rsid w:val="0018513C"/>
    <w:rsid w:val="00195384"/>
    <w:rsid w:val="001A0667"/>
    <w:rsid w:val="001A1CFC"/>
    <w:rsid w:val="001A25D7"/>
    <w:rsid w:val="001A4F1F"/>
    <w:rsid w:val="001A6E9C"/>
    <w:rsid w:val="001B5D11"/>
    <w:rsid w:val="001C2909"/>
    <w:rsid w:val="001C4023"/>
    <w:rsid w:val="001C4597"/>
    <w:rsid w:val="001C72BC"/>
    <w:rsid w:val="001D452B"/>
    <w:rsid w:val="001D476B"/>
    <w:rsid w:val="001D6D5D"/>
    <w:rsid w:val="001E5450"/>
    <w:rsid w:val="001E7C31"/>
    <w:rsid w:val="001F1BF7"/>
    <w:rsid w:val="001F4221"/>
    <w:rsid w:val="00204888"/>
    <w:rsid w:val="00204AB5"/>
    <w:rsid w:val="002106EB"/>
    <w:rsid w:val="002121B3"/>
    <w:rsid w:val="00212EA1"/>
    <w:rsid w:val="00213E78"/>
    <w:rsid w:val="00221303"/>
    <w:rsid w:val="00224421"/>
    <w:rsid w:val="00230C7D"/>
    <w:rsid w:val="00232007"/>
    <w:rsid w:val="002333CF"/>
    <w:rsid w:val="002341CF"/>
    <w:rsid w:val="00236C8E"/>
    <w:rsid w:val="00236F94"/>
    <w:rsid w:val="00237262"/>
    <w:rsid w:val="00242D54"/>
    <w:rsid w:val="00243B6C"/>
    <w:rsid w:val="00246201"/>
    <w:rsid w:val="0024667C"/>
    <w:rsid w:val="00250560"/>
    <w:rsid w:val="002523F0"/>
    <w:rsid w:val="002542D8"/>
    <w:rsid w:val="002609C2"/>
    <w:rsid w:val="00260E74"/>
    <w:rsid w:val="00262969"/>
    <w:rsid w:val="00262CDF"/>
    <w:rsid w:val="0027089E"/>
    <w:rsid w:val="00275519"/>
    <w:rsid w:val="00282DD5"/>
    <w:rsid w:val="00284A3D"/>
    <w:rsid w:val="00285987"/>
    <w:rsid w:val="00286217"/>
    <w:rsid w:val="00290F73"/>
    <w:rsid w:val="00291E70"/>
    <w:rsid w:val="002B4CF4"/>
    <w:rsid w:val="002B6863"/>
    <w:rsid w:val="002C2FC0"/>
    <w:rsid w:val="002C4D52"/>
    <w:rsid w:val="002C6CB5"/>
    <w:rsid w:val="002C73A2"/>
    <w:rsid w:val="002D360A"/>
    <w:rsid w:val="002D37BB"/>
    <w:rsid w:val="002D709C"/>
    <w:rsid w:val="002E139E"/>
    <w:rsid w:val="002E2DF4"/>
    <w:rsid w:val="002F47DA"/>
    <w:rsid w:val="002F550E"/>
    <w:rsid w:val="00301831"/>
    <w:rsid w:val="00310175"/>
    <w:rsid w:val="00313127"/>
    <w:rsid w:val="00314A8D"/>
    <w:rsid w:val="00316475"/>
    <w:rsid w:val="003206CC"/>
    <w:rsid w:val="00321E6A"/>
    <w:rsid w:val="0032357A"/>
    <w:rsid w:val="00330166"/>
    <w:rsid w:val="00331E7E"/>
    <w:rsid w:val="00331E9E"/>
    <w:rsid w:val="00333000"/>
    <w:rsid w:val="00337526"/>
    <w:rsid w:val="003410FB"/>
    <w:rsid w:val="00342ED3"/>
    <w:rsid w:val="00343947"/>
    <w:rsid w:val="00343BCF"/>
    <w:rsid w:val="00347CC6"/>
    <w:rsid w:val="00350160"/>
    <w:rsid w:val="003539AB"/>
    <w:rsid w:val="003666C5"/>
    <w:rsid w:val="00373A1A"/>
    <w:rsid w:val="00374723"/>
    <w:rsid w:val="00374943"/>
    <w:rsid w:val="00374F74"/>
    <w:rsid w:val="00377338"/>
    <w:rsid w:val="003820BC"/>
    <w:rsid w:val="00384894"/>
    <w:rsid w:val="00386FB9"/>
    <w:rsid w:val="00390367"/>
    <w:rsid w:val="003924A9"/>
    <w:rsid w:val="00392A0A"/>
    <w:rsid w:val="00394EA2"/>
    <w:rsid w:val="003B2929"/>
    <w:rsid w:val="003B6277"/>
    <w:rsid w:val="003B79B7"/>
    <w:rsid w:val="003C4D3B"/>
    <w:rsid w:val="003D1C03"/>
    <w:rsid w:val="003D32D0"/>
    <w:rsid w:val="003E135E"/>
    <w:rsid w:val="003E7554"/>
    <w:rsid w:val="003E7D69"/>
    <w:rsid w:val="003F3540"/>
    <w:rsid w:val="003F621F"/>
    <w:rsid w:val="0040343B"/>
    <w:rsid w:val="00407563"/>
    <w:rsid w:val="00411DD2"/>
    <w:rsid w:val="00412CAB"/>
    <w:rsid w:val="004156ED"/>
    <w:rsid w:val="00416145"/>
    <w:rsid w:val="00416508"/>
    <w:rsid w:val="0041675D"/>
    <w:rsid w:val="004269F9"/>
    <w:rsid w:val="00430129"/>
    <w:rsid w:val="00441F7C"/>
    <w:rsid w:val="004446F1"/>
    <w:rsid w:val="0044490C"/>
    <w:rsid w:val="00451613"/>
    <w:rsid w:val="00452128"/>
    <w:rsid w:val="00462164"/>
    <w:rsid w:val="004666A9"/>
    <w:rsid w:val="00481F30"/>
    <w:rsid w:val="00482048"/>
    <w:rsid w:val="004826B1"/>
    <w:rsid w:val="00490F45"/>
    <w:rsid w:val="00491367"/>
    <w:rsid w:val="004929AF"/>
    <w:rsid w:val="00493B27"/>
    <w:rsid w:val="00495802"/>
    <w:rsid w:val="0049760B"/>
    <w:rsid w:val="004A322E"/>
    <w:rsid w:val="004A58D9"/>
    <w:rsid w:val="004B1785"/>
    <w:rsid w:val="004B3DD8"/>
    <w:rsid w:val="004B604A"/>
    <w:rsid w:val="004B7D8D"/>
    <w:rsid w:val="004C0E29"/>
    <w:rsid w:val="004C1BB1"/>
    <w:rsid w:val="004C21BB"/>
    <w:rsid w:val="004C3043"/>
    <w:rsid w:val="004D28BE"/>
    <w:rsid w:val="004E072F"/>
    <w:rsid w:val="004E15AC"/>
    <w:rsid w:val="004E5BA0"/>
    <w:rsid w:val="004F25A6"/>
    <w:rsid w:val="004F274E"/>
    <w:rsid w:val="004F326B"/>
    <w:rsid w:val="00501DB9"/>
    <w:rsid w:val="005029A3"/>
    <w:rsid w:val="00504314"/>
    <w:rsid w:val="00506B74"/>
    <w:rsid w:val="005103A1"/>
    <w:rsid w:val="0051424D"/>
    <w:rsid w:val="005142EB"/>
    <w:rsid w:val="00515DE5"/>
    <w:rsid w:val="00516CC1"/>
    <w:rsid w:val="00520079"/>
    <w:rsid w:val="0052052C"/>
    <w:rsid w:val="00520CD4"/>
    <w:rsid w:val="00522C49"/>
    <w:rsid w:val="00524ABD"/>
    <w:rsid w:val="00533014"/>
    <w:rsid w:val="005347ED"/>
    <w:rsid w:val="00535753"/>
    <w:rsid w:val="005365FF"/>
    <w:rsid w:val="00540DBD"/>
    <w:rsid w:val="005432E3"/>
    <w:rsid w:val="0054361B"/>
    <w:rsid w:val="00552202"/>
    <w:rsid w:val="005538CE"/>
    <w:rsid w:val="00557C9D"/>
    <w:rsid w:val="00560054"/>
    <w:rsid w:val="005612F4"/>
    <w:rsid w:val="00564B8D"/>
    <w:rsid w:val="005654F2"/>
    <w:rsid w:val="0056563A"/>
    <w:rsid w:val="00567C0C"/>
    <w:rsid w:val="0057268C"/>
    <w:rsid w:val="00572A6A"/>
    <w:rsid w:val="00573F3E"/>
    <w:rsid w:val="00575978"/>
    <w:rsid w:val="00576356"/>
    <w:rsid w:val="00587E38"/>
    <w:rsid w:val="00590A88"/>
    <w:rsid w:val="00596CA6"/>
    <w:rsid w:val="00597E85"/>
    <w:rsid w:val="005A1BED"/>
    <w:rsid w:val="005A39CA"/>
    <w:rsid w:val="005A4018"/>
    <w:rsid w:val="005B16C6"/>
    <w:rsid w:val="005B1CB6"/>
    <w:rsid w:val="005B2992"/>
    <w:rsid w:val="005B4BD2"/>
    <w:rsid w:val="005C2BEC"/>
    <w:rsid w:val="005E248C"/>
    <w:rsid w:val="005E5637"/>
    <w:rsid w:val="005E638B"/>
    <w:rsid w:val="005E6F80"/>
    <w:rsid w:val="005F15C7"/>
    <w:rsid w:val="00600BE7"/>
    <w:rsid w:val="00602C7D"/>
    <w:rsid w:val="0060758A"/>
    <w:rsid w:val="00612153"/>
    <w:rsid w:val="006219E1"/>
    <w:rsid w:val="00622066"/>
    <w:rsid w:val="00627839"/>
    <w:rsid w:val="006310F8"/>
    <w:rsid w:val="00632890"/>
    <w:rsid w:val="00643925"/>
    <w:rsid w:val="00650DE6"/>
    <w:rsid w:val="0065296B"/>
    <w:rsid w:val="00654AB6"/>
    <w:rsid w:val="006573FA"/>
    <w:rsid w:val="006608A5"/>
    <w:rsid w:val="00671E44"/>
    <w:rsid w:val="006724E3"/>
    <w:rsid w:val="00675FB9"/>
    <w:rsid w:val="00681107"/>
    <w:rsid w:val="00690D7F"/>
    <w:rsid w:val="00694F59"/>
    <w:rsid w:val="0069525E"/>
    <w:rsid w:val="006964A3"/>
    <w:rsid w:val="0069706E"/>
    <w:rsid w:val="006970E8"/>
    <w:rsid w:val="006A1DED"/>
    <w:rsid w:val="006A3DE3"/>
    <w:rsid w:val="006A6F3E"/>
    <w:rsid w:val="006A6FF9"/>
    <w:rsid w:val="006B4CF5"/>
    <w:rsid w:val="006B675A"/>
    <w:rsid w:val="006C54A1"/>
    <w:rsid w:val="006C65ED"/>
    <w:rsid w:val="006C6A6E"/>
    <w:rsid w:val="006D1B48"/>
    <w:rsid w:val="006D2BFD"/>
    <w:rsid w:val="006E1F47"/>
    <w:rsid w:val="006E2987"/>
    <w:rsid w:val="006E5CD4"/>
    <w:rsid w:val="006E5E2A"/>
    <w:rsid w:val="006E675A"/>
    <w:rsid w:val="006F2923"/>
    <w:rsid w:val="006F2BC8"/>
    <w:rsid w:val="0070687F"/>
    <w:rsid w:val="00706BE4"/>
    <w:rsid w:val="007154C1"/>
    <w:rsid w:val="00717C75"/>
    <w:rsid w:val="0072133C"/>
    <w:rsid w:val="00725AFA"/>
    <w:rsid w:val="0072664F"/>
    <w:rsid w:val="007318EC"/>
    <w:rsid w:val="007425AE"/>
    <w:rsid w:val="00751C7D"/>
    <w:rsid w:val="00761E83"/>
    <w:rsid w:val="007624B2"/>
    <w:rsid w:val="007633AC"/>
    <w:rsid w:val="007654AB"/>
    <w:rsid w:val="00765681"/>
    <w:rsid w:val="007703ED"/>
    <w:rsid w:val="007713CD"/>
    <w:rsid w:val="007737A3"/>
    <w:rsid w:val="00781E63"/>
    <w:rsid w:val="007820EF"/>
    <w:rsid w:val="0078576F"/>
    <w:rsid w:val="00787A2D"/>
    <w:rsid w:val="00790D13"/>
    <w:rsid w:val="00793D48"/>
    <w:rsid w:val="00794FC1"/>
    <w:rsid w:val="007960C4"/>
    <w:rsid w:val="007A201F"/>
    <w:rsid w:val="007A2BE8"/>
    <w:rsid w:val="007A2F8D"/>
    <w:rsid w:val="007A3256"/>
    <w:rsid w:val="007A618B"/>
    <w:rsid w:val="007A75CE"/>
    <w:rsid w:val="007B568A"/>
    <w:rsid w:val="007B6902"/>
    <w:rsid w:val="007C212C"/>
    <w:rsid w:val="007C3075"/>
    <w:rsid w:val="007C3A8D"/>
    <w:rsid w:val="007C3B73"/>
    <w:rsid w:val="007E1436"/>
    <w:rsid w:val="007E32D1"/>
    <w:rsid w:val="007E3C2F"/>
    <w:rsid w:val="007E6934"/>
    <w:rsid w:val="007E7533"/>
    <w:rsid w:val="007E7A46"/>
    <w:rsid w:val="007F3741"/>
    <w:rsid w:val="008002AF"/>
    <w:rsid w:val="00803550"/>
    <w:rsid w:val="008109B2"/>
    <w:rsid w:val="0081130B"/>
    <w:rsid w:val="00814E4D"/>
    <w:rsid w:val="0081656B"/>
    <w:rsid w:val="00816955"/>
    <w:rsid w:val="00816AED"/>
    <w:rsid w:val="008170AF"/>
    <w:rsid w:val="00836FA9"/>
    <w:rsid w:val="00837D48"/>
    <w:rsid w:val="00853D0A"/>
    <w:rsid w:val="00862907"/>
    <w:rsid w:val="008630EC"/>
    <w:rsid w:val="00863FA8"/>
    <w:rsid w:val="00864170"/>
    <w:rsid w:val="00866EAA"/>
    <w:rsid w:val="00876E59"/>
    <w:rsid w:val="00887A70"/>
    <w:rsid w:val="008908AC"/>
    <w:rsid w:val="008927C9"/>
    <w:rsid w:val="00896406"/>
    <w:rsid w:val="008A1B4C"/>
    <w:rsid w:val="008A340D"/>
    <w:rsid w:val="008A5AA7"/>
    <w:rsid w:val="008B7646"/>
    <w:rsid w:val="008C195D"/>
    <w:rsid w:val="008C2342"/>
    <w:rsid w:val="008C7087"/>
    <w:rsid w:val="008D0FCE"/>
    <w:rsid w:val="008D2006"/>
    <w:rsid w:val="008D46D1"/>
    <w:rsid w:val="008E1A49"/>
    <w:rsid w:val="008E1E3A"/>
    <w:rsid w:val="008E2EFA"/>
    <w:rsid w:val="008F0865"/>
    <w:rsid w:val="008F3B50"/>
    <w:rsid w:val="008F63EF"/>
    <w:rsid w:val="009026A9"/>
    <w:rsid w:val="00906881"/>
    <w:rsid w:val="00907798"/>
    <w:rsid w:val="00910563"/>
    <w:rsid w:val="0091428A"/>
    <w:rsid w:val="009155CC"/>
    <w:rsid w:val="00916045"/>
    <w:rsid w:val="00926456"/>
    <w:rsid w:val="00927E82"/>
    <w:rsid w:val="00930AFF"/>
    <w:rsid w:val="009321EB"/>
    <w:rsid w:val="0093239E"/>
    <w:rsid w:val="00941AED"/>
    <w:rsid w:val="0094231F"/>
    <w:rsid w:val="00942FE3"/>
    <w:rsid w:val="0094501F"/>
    <w:rsid w:val="0095270F"/>
    <w:rsid w:val="009569EB"/>
    <w:rsid w:val="00960F6B"/>
    <w:rsid w:val="009613E4"/>
    <w:rsid w:val="00961C18"/>
    <w:rsid w:val="009656F9"/>
    <w:rsid w:val="00965FC2"/>
    <w:rsid w:val="00967B5C"/>
    <w:rsid w:val="009736F6"/>
    <w:rsid w:val="009773D7"/>
    <w:rsid w:val="00991BC2"/>
    <w:rsid w:val="0099480D"/>
    <w:rsid w:val="009A158F"/>
    <w:rsid w:val="009A5865"/>
    <w:rsid w:val="009A67F8"/>
    <w:rsid w:val="009A6874"/>
    <w:rsid w:val="009B2958"/>
    <w:rsid w:val="009B2A19"/>
    <w:rsid w:val="009B559E"/>
    <w:rsid w:val="009B618E"/>
    <w:rsid w:val="009C1B46"/>
    <w:rsid w:val="009C4544"/>
    <w:rsid w:val="009C73B2"/>
    <w:rsid w:val="009D1980"/>
    <w:rsid w:val="009D1C72"/>
    <w:rsid w:val="009D33ED"/>
    <w:rsid w:val="009D3B31"/>
    <w:rsid w:val="009D3F60"/>
    <w:rsid w:val="009E22C5"/>
    <w:rsid w:val="009E3D88"/>
    <w:rsid w:val="009E5E2C"/>
    <w:rsid w:val="009F058E"/>
    <w:rsid w:val="009F6A17"/>
    <w:rsid w:val="009F70F5"/>
    <w:rsid w:val="00A055D9"/>
    <w:rsid w:val="00A10672"/>
    <w:rsid w:val="00A14F4E"/>
    <w:rsid w:val="00A24D0B"/>
    <w:rsid w:val="00A335FB"/>
    <w:rsid w:val="00A345A0"/>
    <w:rsid w:val="00A43DC7"/>
    <w:rsid w:val="00A462C6"/>
    <w:rsid w:val="00A50217"/>
    <w:rsid w:val="00A516BA"/>
    <w:rsid w:val="00A56565"/>
    <w:rsid w:val="00A656B1"/>
    <w:rsid w:val="00A67C10"/>
    <w:rsid w:val="00A719A3"/>
    <w:rsid w:val="00A722E8"/>
    <w:rsid w:val="00A816A9"/>
    <w:rsid w:val="00A84050"/>
    <w:rsid w:val="00A840A6"/>
    <w:rsid w:val="00A92BA3"/>
    <w:rsid w:val="00A93A9C"/>
    <w:rsid w:val="00AA5E2F"/>
    <w:rsid w:val="00AC454E"/>
    <w:rsid w:val="00AD6F33"/>
    <w:rsid w:val="00AE01E1"/>
    <w:rsid w:val="00AF2CD9"/>
    <w:rsid w:val="00B047F7"/>
    <w:rsid w:val="00B05BB7"/>
    <w:rsid w:val="00B13EDD"/>
    <w:rsid w:val="00B14667"/>
    <w:rsid w:val="00B152CD"/>
    <w:rsid w:val="00B16774"/>
    <w:rsid w:val="00B17B5B"/>
    <w:rsid w:val="00B236F8"/>
    <w:rsid w:val="00B27BA8"/>
    <w:rsid w:val="00B314B8"/>
    <w:rsid w:val="00B33EED"/>
    <w:rsid w:val="00B34CE0"/>
    <w:rsid w:val="00B35B68"/>
    <w:rsid w:val="00B367F2"/>
    <w:rsid w:val="00B36A34"/>
    <w:rsid w:val="00B37F55"/>
    <w:rsid w:val="00B42761"/>
    <w:rsid w:val="00B476A1"/>
    <w:rsid w:val="00B5263D"/>
    <w:rsid w:val="00B527BF"/>
    <w:rsid w:val="00B60BBB"/>
    <w:rsid w:val="00B61187"/>
    <w:rsid w:val="00B61D60"/>
    <w:rsid w:val="00B62005"/>
    <w:rsid w:val="00B622A0"/>
    <w:rsid w:val="00B63CA5"/>
    <w:rsid w:val="00B66173"/>
    <w:rsid w:val="00B7022D"/>
    <w:rsid w:val="00B87C44"/>
    <w:rsid w:val="00B919ED"/>
    <w:rsid w:val="00B921D2"/>
    <w:rsid w:val="00B92C38"/>
    <w:rsid w:val="00B93843"/>
    <w:rsid w:val="00B941C9"/>
    <w:rsid w:val="00B971A6"/>
    <w:rsid w:val="00BA1965"/>
    <w:rsid w:val="00BA4075"/>
    <w:rsid w:val="00BA7DA4"/>
    <w:rsid w:val="00BB2DA6"/>
    <w:rsid w:val="00BB658D"/>
    <w:rsid w:val="00BC0157"/>
    <w:rsid w:val="00BC0B91"/>
    <w:rsid w:val="00BC51F7"/>
    <w:rsid w:val="00BD196A"/>
    <w:rsid w:val="00BD1E33"/>
    <w:rsid w:val="00BD43C1"/>
    <w:rsid w:val="00BD78B6"/>
    <w:rsid w:val="00BE216A"/>
    <w:rsid w:val="00BE3E78"/>
    <w:rsid w:val="00BE79C5"/>
    <w:rsid w:val="00BF0005"/>
    <w:rsid w:val="00BF167A"/>
    <w:rsid w:val="00BF1833"/>
    <w:rsid w:val="00BF7190"/>
    <w:rsid w:val="00BF7D41"/>
    <w:rsid w:val="00C00D74"/>
    <w:rsid w:val="00C02D6C"/>
    <w:rsid w:val="00C1222C"/>
    <w:rsid w:val="00C21398"/>
    <w:rsid w:val="00C27378"/>
    <w:rsid w:val="00C35FAE"/>
    <w:rsid w:val="00C360C4"/>
    <w:rsid w:val="00C3685F"/>
    <w:rsid w:val="00C37401"/>
    <w:rsid w:val="00C433C7"/>
    <w:rsid w:val="00C452F5"/>
    <w:rsid w:val="00C544A7"/>
    <w:rsid w:val="00C61FC1"/>
    <w:rsid w:val="00C64843"/>
    <w:rsid w:val="00C667BE"/>
    <w:rsid w:val="00C72A13"/>
    <w:rsid w:val="00C74102"/>
    <w:rsid w:val="00C811F0"/>
    <w:rsid w:val="00C825FC"/>
    <w:rsid w:val="00C83A20"/>
    <w:rsid w:val="00C84B95"/>
    <w:rsid w:val="00C85FF5"/>
    <w:rsid w:val="00C86694"/>
    <w:rsid w:val="00C87638"/>
    <w:rsid w:val="00C92566"/>
    <w:rsid w:val="00C929DC"/>
    <w:rsid w:val="00C96061"/>
    <w:rsid w:val="00CA6B4F"/>
    <w:rsid w:val="00CA7388"/>
    <w:rsid w:val="00CA7937"/>
    <w:rsid w:val="00CB23B4"/>
    <w:rsid w:val="00CB5394"/>
    <w:rsid w:val="00CB5929"/>
    <w:rsid w:val="00CB7230"/>
    <w:rsid w:val="00CC39D0"/>
    <w:rsid w:val="00CD2D33"/>
    <w:rsid w:val="00CD49BC"/>
    <w:rsid w:val="00CD7D15"/>
    <w:rsid w:val="00CE3FE3"/>
    <w:rsid w:val="00CE66D7"/>
    <w:rsid w:val="00CF020B"/>
    <w:rsid w:val="00CF0C02"/>
    <w:rsid w:val="00CF0DEF"/>
    <w:rsid w:val="00CF2F69"/>
    <w:rsid w:val="00CF331B"/>
    <w:rsid w:val="00CF66B6"/>
    <w:rsid w:val="00D03FB7"/>
    <w:rsid w:val="00D12926"/>
    <w:rsid w:val="00D1606A"/>
    <w:rsid w:val="00D347A8"/>
    <w:rsid w:val="00D34E9F"/>
    <w:rsid w:val="00D37022"/>
    <w:rsid w:val="00D374C0"/>
    <w:rsid w:val="00D43127"/>
    <w:rsid w:val="00D44544"/>
    <w:rsid w:val="00D45835"/>
    <w:rsid w:val="00D477E3"/>
    <w:rsid w:val="00D5100C"/>
    <w:rsid w:val="00D51096"/>
    <w:rsid w:val="00D52D36"/>
    <w:rsid w:val="00D54B25"/>
    <w:rsid w:val="00D60C11"/>
    <w:rsid w:val="00D6424F"/>
    <w:rsid w:val="00D65920"/>
    <w:rsid w:val="00D7079A"/>
    <w:rsid w:val="00D73BAB"/>
    <w:rsid w:val="00D74E7C"/>
    <w:rsid w:val="00D77BE2"/>
    <w:rsid w:val="00D80A4B"/>
    <w:rsid w:val="00D903BD"/>
    <w:rsid w:val="00D93F13"/>
    <w:rsid w:val="00D969B5"/>
    <w:rsid w:val="00DA6634"/>
    <w:rsid w:val="00DA77EB"/>
    <w:rsid w:val="00DB103B"/>
    <w:rsid w:val="00DB12C8"/>
    <w:rsid w:val="00DB6779"/>
    <w:rsid w:val="00DD05F6"/>
    <w:rsid w:val="00DE1250"/>
    <w:rsid w:val="00DE1EAC"/>
    <w:rsid w:val="00DE1F60"/>
    <w:rsid w:val="00DE384D"/>
    <w:rsid w:val="00DF0C6B"/>
    <w:rsid w:val="00DF4D1B"/>
    <w:rsid w:val="00DF52EA"/>
    <w:rsid w:val="00E00482"/>
    <w:rsid w:val="00E00BCF"/>
    <w:rsid w:val="00E10277"/>
    <w:rsid w:val="00E117CC"/>
    <w:rsid w:val="00E20E8D"/>
    <w:rsid w:val="00E2129B"/>
    <w:rsid w:val="00E221A1"/>
    <w:rsid w:val="00E26292"/>
    <w:rsid w:val="00E30D7E"/>
    <w:rsid w:val="00E314F0"/>
    <w:rsid w:val="00E347A1"/>
    <w:rsid w:val="00E35F44"/>
    <w:rsid w:val="00E433E1"/>
    <w:rsid w:val="00E44937"/>
    <w:rsid w:val="00E468F0"/>
    <w:rsid w:val="00E46D40"/>
    <w:rsid w:val="00E505E1"/>
    <w:rsid w:val="00E5079F"/>
    <w:rsid w:val="00E50A66"/>
    <w:rsid w:val="00E51A3A"/>
    <w:rsid w:val="00E54E2B"/>
    <w:rsid w:val="00E60A41"/>
    <w:rsid w:val="00E634EA"/>
    <w:rsid w:val="00E66246"/>
    <w:rsid w:val="00E66E65"/>
    <w:rsid w:val="00E67133"/>
    <w:rsid w:val="00E70C24"/>
    <w:rsid w:val="00E73D44"/>
    <w:rsid w:val="00E77941"/>
    <w:rsid w:val="00E85398"/>
    <w:rsid w:val="00E87080"/>
    <w:rsid w:val="00E87F69"/>
    <w:rsid w:val="00E91E55"/>
    <w:rsid w:val="00E94869"/>
    <w:rsid w:val="00E96672"/>
    <w:rsid w:val="00E96944"/>
    <w:rsid w:val="00EA5B65"/>
    <w:rsid w:val="00EA613C"/>
    <w:rsid w:val="00EA6BC7"/>
    <w:rsid w:val="00EB41B1"/>
    <w:rsid w:val="00EB6FA8"/>
    <w:rsid w:val="00EC1DB4"/>
    <w:rsid w:val="00EC2225"/>
    <w:rsid w:val="00EC4084"/>
    <w:rsid w:val="00EC4405"/>
    <w:rsid w:val="00EC70A6"/>
    <w:rsid w:val="00ED52C6"/>
    <w:rsid w:val="00ED6C49"/>
    <w:rsid w:val="00ED7E65"/>
    <w:rsid w:val="00EE1C32"/>
    <w:rsid w:val="00EE6909"/>
    <w:rsid w:val="00EF11A3"/>
    <w:rsid w:val="00EF7A42"/>
    <w:rsid w:val="00F000C3"/>
    <w:rsid w:val="00F01E45"/>
    <w:rsid w:val="00F02842"/>
    <w:rsid w:val="00F039E3"/>
    <w:rsid w:val="00F0500F"/>
    <w:rsid w:val="00F05F1E"/>
    <w:rsid w:val="00F128E9"/>
    <w:rsid w:val="00F15559"/>
    <w:rsid w:val="00F254BE"/>
    <w:rsid w:val="00F32C3C"/>
    <w:rsid w:val="00F35B33"/>
    <w:rsid w:val="00F42AF0"/>
    <w:rsid w:val="00F443A4"/>
    <w:rsid w:val="00F50108"/>
    <w:rsid w:val="00F50B76"/>
    <w:rsid w:val="00F52092"/>
    <w:rsid w:val="00F53175"/>
    <w:rsid w:val="00F53A45"/>
    <w:rsid w:val="00F60ADF"/>
    <w:rsid w:val="00F6279E"/>
    <w:rsid w:val="00F65803"/>
    <w:rsid w:val="00F6735C"/>
    <w:rsid w:val="00F72B58"/>
    <w:rsid w:val="00F72FCB"/>
    <w:rsid w:val="00F73642"/>
    <w:rsid w:val="00F85237"/>
    <w:rsid w:val="00F869F2"/>
    <w:rsid w:val="00F87B51"/>
    <w:rsid w:val="00F92C6B"/>
    <w:rsid w:val="00F93CEB"/>
    <w:rsid w:val="00FA0C14"/>
    <w:rsid w:val="00FA14C4"/>
    <w:rsid w:val="00FA34AA"/>
    <w:rsid w:val="00FC06D3"/>
    <w:rsid w:val="00FC3838"/>
    <w:rsid w:val="00FC7661"/>
    <w:rsid w:val="00FD0B1C"/>
    <w:rsid w:val="00FD41DF"/>
    <w:rsid w:val="00FE0632"/>
    <w:rsid w:val="00FE0CA8"/>
    <w:rsid w:val="00FE1681"/>
    <w:rsid w:val="00FE2021"/>
    <w:rsid w:val="00FE2788"/>
    <w:rsid w:val="00FE29A0"/>
    <w:rsid w:val="00FE2BD5"/>
    <w:rsid w:val="00FE3339"/>
    <w:rsid w:val="00FE4711"/>
    <w:rsid w:val="00FE6B6B"/>
    <w:rsid w:val="00FE7B20"/>
    <w:rsid w:val="00FF08DE"/>
    <w:rsid w:val="00FF23D7"/>
    <w:rsid w:val="00FF26A9"/>
    <w:rsid w:val="00FF7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3DA54"/>
  <w15:chartTrackingRefBased/>
  <w15:docId w15:val="{334F4991-5171-4695-AA49-3D750C9B3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E91E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1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4667C"/>
    <w:pPr>
      <w:ind w:left="720"/>
      <w:contextualSpacing/>
    </w:pPr>
  </w:style>
  <w:style w:type="paragraph" w:customStyle="1" w:styleId="Dieu">
    <w:name w:val="Dieu"/>
    <w:basedOn w:val="Normal"/>
    <w:link w:val="DieuChar"/>
    <w:qFormat/>
    <w:rsid w:val="009D1C72"/>
    <w:pPr>
      <w:numPr>
        <w:numId w:val="3"/>
      </w:numPr>
      <w:tabs>
        <w:tab w:val="left" w:pos="1560"/>
      </w:tabs>
      <w:spacing w:before="120" w:after="120" w:line="360" w:lineRule="exact"/>
      <w:jc w:val="both"/>
      <w:outlineLvl w:val="2"/>
    </w:pPr>
    <w:rPr>
      <w:rFonts w:ascii="Times New Roman" w:eastAsia="Times New Roman" w:hAnsi="Times New Roman" w:cs="Times New Roman"/>
      <w:b/>
      <w:sz w:val="26"/>
      <w:szCs w:val="26"/>
      <w:lang w:val="vi-VN" w:eastAsia="vi-VN"/>
    </w:rPr>
  </w:style>
  <w:style w:type="character" w:customStyle="1" w:styleId="DieuChar">
    <w:name w:val="Dieu Char"/>
    <w:link w:val="Dieu"/>
    <w:rsid w:val="009D1C72"/>
    <w:rPr>
      <w:rFonts w:ascii="Times New Roman" w:eastAsia="Times New Roman" w:hAnsi="Times New Roman" w:cs="Times New Roman"/>
      <w:b/>
      <w:sz w:val="26"/>
      <w:szCs w:val="26"/>
      <w:lang w:val="vi-VN" w:eastAsia="vi-VN"/>
    </w:rPr>
  </w:style>
  <w:style w:type="paragraph" w:customStyle="1" w:styleId="H">
    <w:name w:val="Hà"/>
    <w:basedOn w:val="Normal"/>
    <w:link w:val="HChar"/>
    <w:rsid w:val="00392A0A"/>
    <w:pPr>
      <w:widowControl w:val="0"/>
      <w:numPr>
        <w:numId w:val="4"/>
      </w:numPr>
      <w:autoSpaceDE w:val="0"/>
      <w:autoSpaceDN w:val="0"/>
      <w:adjustRightInd w:val="0"/>
      <w:spacing w:before="120" w:after="0" w:line="390" w:lineRule="exact"/>
      <w:jc w:val="both"/>
      <w:outlineLvl w:val="1"/>
    </w:pPr>
    <w:rPr>
      <w:rFonts w:ascii="Times New Roman Bold" w:eastAsia="Times New Roman" w:hAnsi="Times New Roman Bold" w:cs="Times New Roman"/>
      <w:b/>
      <w:bCs/>
      <w:spacing w:val="-10"/>
      <w:sz w:val="28"/>
      <w:szCs w:val="28"/>
      <w:lang w:val="vi-VN" w:eastAsia="vi-VN"/>
    </w:rPr>
  </w:style>
  <w:style w:type="character" w:customStyle="1" w:styleId="HChar">
    <w:name w:val="Hà Char"/>
    <w:basedOn w:val="DefaultParagraphFont"/>
    <w:link w:val="H"/>
    <w:rsid w:val="00392A0A"/>
    <w:rPr>
      <w:rFonts w:ascii="Times New Roman Bold" w:eastAsia="Times New Roman" w:hAnsi="Times New Roman Bold" w:cs="Times New Roman"/>
      <w:b/>
      <w:bCs/>
      <w:spacing w:val="-10"/>
      <w:sz w:val="28"/>
      <w:szCs w:val="28"/>
      <w:lang w:val="vi-VN" w:eastAsia="vi-VN"/>
    </w:rPr>
  </w:style>
  <w:style w:type="paragraph" w:styleId="NormalWeb">
    <w:name w:val="Normal (Web)"/>
    <w:aliases w:val="Обычный (веб)1,Обычный (веб) Знак,Обычный (веб) Знак1,Обычный (веб) Знак Знак,표준 (웹),Char Char5,webb,Char Char Char Char Char Char Char Char Char Char Char Char Char Char Char,Char Char Cha,Normal (Web) Char1,Char8 Char,Char8, Char Char"/>
    <w:basedOn w:val="Normal"/>
    <w:link w:val="NormalWebChar"/>
    <w:uiPriority w:val="99"/>
    <w:unhideWhenUsed/>
    <w:qFormat/>
    <w:rsid w:val="00034B1E"/>
    <w:pPr>
      <w:spacing w:before="120" w:after="120" w:line="360" w:lineRule="exact"/>
      <w:ind w:firstLine="170"/>
      <w:jc w:val="both"/>
    </w:pPr>
    <w:rPr>
      <w:rFonts w:ascii="Times New Roman" w:eastAsia="Times New Roman" w:hAnsi="Times New Roman" w:cs="Times New Roman"/>
      <w:i/>
      <w:color w:val="FF0000"/>
      <w:sz w:val="28"/>
      <w:szCs w:val="24"/>
      <w:lang w:val="vi-VN"/>
    </w:rPr>
  </w:style>
  <w:style w:type="character" w:customStyle="1" w:styleId="NormalWebChar">
    <w:name w:val="Normal (Web) Char"/>
    <w:aliases w:val="Обычный (веб)1 Char,Обычный (веб) Знак Char,Обычный (веб) Знак1 Char,Обычный (веб) Знак Знак Char,표준 (웹) Char,Char Char5 Char,webb Char,Char Char Char Char Char Char Char Char Char Char Char Char Char Char Char Char,Char Char Cha Char"/>
    <w:link w:val="NormalWeb"/>
    <w:uiPriority w:val="99"/>
    <w:locked/>
    <w:rsid w:val="00034B1E"/>
    <w:rPr>
      <w:rFonts w:ascii="Times New Roman" w:eastAsia="Times New Roman" w:hAnsi="Times New Roman" w:cs="Times New Roman"/>
      <w:i/>
      <w:color w:val="FF0000"/>
      <w:sz w:val="28"/>
      <w:szCs w:val="24"/>
      <w:lang w:val="vi-VN"/>
    </w:rPr>
  </w:style>
  <w:style w:type="paragraph" w:styleId="Header">
    <w:name w:val="header"/>
    <w:basedOn w:val="Normal"/>
    <w:link w:val="HeaderChar"/>
    <w:uiPriority w:val="99"/>
    <w:unhideWhenUsed/>
    <w:rsid w:val="00331E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1E9E"/>
  </w:style>
  <w:style w:type="paragraph" w:styleId="Footer">
    <w:name w:val="footer"/>
    <w:basedOn w:val="Normal"/>
    <w:link w:val="FooterChar"/>
    <w:uiPriority w:val="99"/>
    <w:unhideWhenUsed/>
    <w:rsid w:val="00331E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E9E"/>
  </w:style>
  <w:style w:type="table" w:customStyle="1" w:styleId="TableGrid1">
    <w:name w:val="Table Grid1"/>
    <w:basedOn w:val="TableNormal"/>
    <w:next w:val="TableGrid"/>
    <w:rsid w:val="007A3256"/>
    <w:pPr>
      <w:spacing w:before="40" w:after="0" w:line="240" w:lineRule="auto"/>
      <w:ind w:firstLine="284"/>
      <w:jc w:val="both"/>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64170"/>
    <w:rPr>
      <w:color w:val="0000FF"/>
      <w:u w:val="single"/>
    </w:rPr>
  </w:style>
  <w:style w:type="character" w:styleId="Strong">
    <w:name w:val="Strong"/>
    <w:basedOn w:val="DefaultParagraphFont"/>
    <w:uiPriority w:val="22"/>
    <w:qFormat/>
    <w:rsid w:val="00B37F55"/>
    <w:rPr>
      <w:b/>
      <w:bCs/>
    </w:rPr>
  </w:style>
  <w:style w:type="character" w:customStyle="1" w:styleId="Heading2Char">
    <w:name w:val="Heading 2 Char"/>
    <w:basedOn w:val="DefaultParagraphFont"/>
    <w:link w:val="Heading2"/>
    <w:uiPriority w:val="9"/>
    <w:rsid w:val="00E91E55"/>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23">
      <w:bodyDiv w:val="1"/>
      <w:marLeft w:val="0"/>
      <w:marRight w:val="0"/>
      <w:marTop w:val="0"/>
      <w:marBottom w:val="0"/>
      <w:divBdr>
        <w:top w:val="none" w:sz="0" w:space="0" w:color="auto"/>
        <w:left w:val="none" w:sz="0" w:space="0" w:color="auto"/>
        <w:bottom w:val="none" w:sz="0" w:space="0" w:color="auto"/>
        <w:right w:val="none" w:sz="0" w:space="0" w:color="auto"/>
      </w:divBdr>
    </w:div>
    <w:div w:id="11349151">
      <w:bodyDiv w:val="1"/>
      <w:marLeft w:val="0"/>
      <w:marRight w:val="0"/>
      <w:marTop w:val="0"/>
      <w:marBottom w:val="0"/>
      <w:divBdr>
        <w:top w:val="none" w:sz="0" w:space="0" w:color="auto"/>
        <w:left w:val="none" w:sz="0" w:space="0" w:color="auto"/>
        <w:bottom w:val="none" w:sz="0" w:space="0" w:color="auto"/>
        <w:right w:val="none" w:sz="0" w:space="0" w:color="auto"/>
      </w:divBdr>
    </w:div>
    <w:div w:id="35812113">
      <w:bodyDiv w:val="1"/>
      <w:marLeft w:val="0"/>
      <w:marRight w:val="0"/>
      <w:marTop w:val="0"/>
      <w:marBottom w:val="0"/>
      <w:divBdr>
        <w:top w:val="none" w:sz="0" w:space="0" w:color="auto"/>
        <w:left w:val="none" w:sz="0" w:space="0" w:color="auto"/>
        <w:bottom w:val="none" w:sz="0" w:space="0" w:color="auto"/>
        <w:right w:val="none" w:sz="0" w:space="0" w:color="auto"/>
      </w:divBdr>
    </w:div>
    <w:div w:id="41103170">
      <w:bodyDiv w:val="1"/>
      <w:marLeft w:val="0"/>
      <w:marRight w:val="0"/>
      <w:marTop w:val="0"/>
      <w:marBottom w:val="0"/>
      <w:divBdr>
        <w:top w:val="none" w:sz="0" w:space="0" w:color="auto"/>
        <w:left w:val="none" w:sz="0" w:space="0" w:color="auto"/>
        <w:bottom w:val="none" w:sz="0" w:space="0" w:color="auto"/>
        <w:right w:val="none" w:sz="0" w:space="0" w:color="auto"/>
      </w:divBdr>
    </w:div>
    <w:div w:id="72431068">
      <w:bodyDiv w:val="1"/>
      <w:marLeft w:val="0"/>
      <w:marRight w:val="0"/>
      <w:marTop w:val="0"/>
      <w:marBottom w:val="0"/>
      <w:divBdr>
        <w:top w:val="none" w:sz="0" w:space="0" w:color="auto"/>
        <w:left w:val="none" w:sz="0" w:space="0" w:color="auto"/>
        <w:bottom w:val="none" w:sz="0" w:space="0" w:color="auto"/>
        <w:right w:val="none" w:sz="0" w:space="0" w:color="auto"/>
      </w:divBdr>
    </w:div>
    <w:div w:id="74478879">
      <w:bodyDiv w:val="1"/>
      <w:marLeft w:val="0"/>
      <w:marRight w:val="0"/>
      <w:marTop w:val="0"/>
      <w:marBottom w:val="0"/>
      <w:divBdr>
        <w:top w:val="none" w:sz="0" w:space="0" w:color="auto"/>
        <w:left w:val="none" w:sz="0" w:space="0" w:color="auto"/>
        <w:bottom w:val="none" w:sz="0" w:space="0" w:color="auto"/>
        <w:right w:val="none" w:sz="0" w:space="0" w:color="auto"/>
      </w:divBdr>
    </w:div>
    <w:div w:id="110051487">
      <w:bodyDiv w:val="1"/>
      <w:marLeft w:val="0"/>
      <w:marRight w:val="0"/>
      <w:marTop w:val="0"/>
      <w:marBottom w:val="0"/>
      <w:divBdr>
        <w:top w:val="none" w:sz="0" w:space="0" w:color="auto"/>
        <w:left w:val="none" w:sz="0" w:space="0" w:color="auto"/>
        <w:bottom w:val="none" w:sz="0" w:space="0" w:color="auto"/>
        <w:right w:val="none" w:sz="0" w:space="0" w:color="auto"/>
      </w:divBdr>
    </w:div>
    <w:div w:id="122113755">
      <w:bodyDiv w:val="1"/>
      <w:marLeft w:val="0"/>
      <w:marRight w:val="0"/>
      <w:marTop w:val="0"/>
      <w:marBottom w:val="0"/>
      <w:divBdr>
        <w:top w:val="none" w:sz="0" w:space="0" w:color="auto"/>
        <w:left w:val="none" w:sz="0" w:space="0" w:color="auto"/>
        <w:bottom w:val="none" w:sz="0" w:space="0" w:color="auto"/>
        <w:right w:val="none" w:sz="0" w:space="0" w:color="auto"/>
      </w:divBdr>
    </w:div>
    <w:div w:id="128281898">
      <w:bodyDiv w:val="1"/>
      <w:marLeft w:val="0"/>
      <w:marRight w:val="0"/>
      <w:marTop w:val="0"/>
      <w:marBottom w:val="0"/>
      <w:divBdr>
        <w:top w:val="none" w:sz="0" w:space="0" w:color="auto"/>
        <w:left w:val="none" w:sz="0" w:space="0" w:color="auto"/>
        <w:bottom w:val="none" w:sz="0" w:space="0" w:color="auto"/>
        <w:right w:val="none" w:sz="0" w:space="0" w:color="auto"/>
      </w:divBdr>
    </w:div>
    <w:div w:id="162209513">
      <w:bodyDiv w:val="1"/>
      <w:marLeft w:val="0"/>
      <w:marRight w:val="0"/>
      <w:marTop w:val="0"/>
      <w:marBottom w:val="0"/>
      <w:divBdr>
        <w:top w:val="none" w:sz="0" w:space="0" w:color="auto"/>
        <w:left w:val="none" w:sz="0" w:space="0" w:color="auto"/>
        <w:bottom w:val="none" w:sz="0" w:space="0" w:color="auto"/>
        <w:right w:val="none" w:sz="0" w:space="0" w:color="auto"/>
      </w:divBdr>
    </w:div>
    <w:div w:id="162933658">
      <w:bodyDiv w:val="1"/>
      <w:marLeft w:val="0"/>
      <w:marRight w:val="0"/>
      <w:marTop w:val="0"/>
      <w:marBottom w:val="0"/>
      <w:divBdr>
        <w:top w:val="none" w:sz="0" w:space="0" w:color="auto"/>
        <w:left w:val="none" w:sz="0" w:space="0" w:color="auto"/>
        <w:bottom w:val="none" w:sz="0" w:space="0" w:color="auto"/>
        <w:right w:val="none" w:sz="0" w:space="0" w:color="auto"/>
      </w:divBdr>
    </w:div>
    <w:div w:id="170264019">
      <w:bodyDiv w:val="1"/>
      <w:marLeft w:val="0"/>
      <w:marRight w:val="0"/>
      <w:marTop w:val="0"/>
      <w:marBottom w:val="0"/>
      <w:divBdr>
        <w:top w:val="none" w:sz="0" w:space="0" w:color="auto"/>
        <w:left w:val="none" w:sz="0" w:space="0" w:color="auto"/>
        <w:bottom w:val="none" w:sz="0" w:space="0" w:color="auto"/>
        <w:right w:val="none" w:sz="0" w:space="0" w:color="auto"/>
      </w:divBdr>
    </w:div>
    <w:div w:id="188953981">
      <w:bodyDiv w:val="1"/>
      <w:marLeft w:val="0"/>
      <w:marRight w:val="0"/>
      <w:marTop w:val="0"/>
      <w:marBottom w:val="0"/>
      <w:divBdr>
        <w:top w:val="none" w:sz="0" w:space="0" w:color="auto"/>
        <w:left w:val="none" w:sz="0" w:space="0" w:color="auto"/>
        <w:bottom w:val="none" w:sz="0" w:space="0" w:color="auto"/>
        <w:right w:val="none" w:sz="0" w:space="0" w:color="auto"/>
      </w:divBdr>
    </w:div>
    <w:div w:id="189539839">
      <w:bodyDiv w:val="1"/>
      <w:marLeft w:val="0"/>
      <w:marRight w:val="0"/>
      <w:marTop w:val="0"/>
      <w:marBottom w:val="0"/>
      <w:divBdr>
        <w:top w:val="none" w:sz="0" w:space="0" w:color="auto"/>
        <w:left w:val="none" w:sz="0" w:space="0" w:color="auto"/>
        <w:bottom w:val="none" w:sz="0" w:space="0" w:color="auto"/>
        <w:right w:val="none" w:sz="0" w:space="0" w:color="auto"/>
      </w:divBdr>
    </w:div>
    <w:div w:id="204415302">
      <w:bodyDiv w:val="1"/>
      <w:marLeft w:val="0"/>
      <w:marRight w:val="0"/>
      <w:marTop w:val="0"/>
      <w:marBottom w:val="0"/>
      <w:divBdr>
        <w:top w:val="none" w:sz="0" w:space="0" w:color="auto"/>
        <w:left w:val="none" w:sz="0" w:space="0" w:color="auto"/>
        <w:bottom w:val="none" w:sz="0" w:space="0" w:color="auto"/>
        <w:right w:val="none" w:sz="0" w:space="0" w:color="auto"/>
      </w:divBdr>
    </w:div>
    <w:div w:id="208223297">
      <w:bodyDiv w:val="1"/>
      <w:marLeft w:val="0"/>
      <w:marRight w:val="0"/>
      <w:marTop w:val="0"/>
      <w:marBottom w:val="0"/>
      <w:divBdr>
        <w:top w:val="none" w:sz="0" w:space="0" w:color="auto"/>
        <w:left w:val="none" w:sz="0" w:space="0" w:color="auto"/>
        <w:bottom w:val="none" w:sz="0" w:space="0" w:color="auto"/>
        <w:right w:val="none" w:sz="0" w:space="0" w:color="auto"/>
      </w:divBdr>
    </w:div>
    <w:div w:id="230967126">
      <w:bodyDiv w:val="1"/>
      <w:marLeft w:val="0"/>
      <w:marRight w:val="0"/>
      <w:marTop w:val="0"/>
      <w:marBottom w:val="0"/>
      <w:divBdr>
        <w:top w:val="none" w:sz="0" w:space="0" w:color="auto"/>
        <w:left w:val="none" w:sz="0" w:space="0" w:color="auto"/>
        <w:bottom w:val="none" w:sz="0" w:space="0" w:color="auto"/>
        <w:right w:val="none" w:sz="0" w:space="0" w:color="auto"/>
      </w:divBdr>
    </w:div>
    <w:div w:id="249512782">
      <w:bodyDiv w:val="1"/>
      <w:marLeft w:val="0"/>
      <w:marRight w:val="0"/>
      <w:marTop w:val="0"/>
      <w:marBottom w:val="0"/>
      <w:divBdr>
        <w:top w:val="none" w:sz="0" w:space="0" w:color="auto"/>
        <w:left w:val="none" w:sz="0" w:space="0" w:color="auto"/>
        <w:bottom w:val="none" w:sz="0" w:space="0" w:color="auto"/>
        <w:right w:val="none" w:sz="0" w:space="0" w:color="auto"/>
      </w:divBdr>
    </w:div>
    <w:div w:id="260070746">
      <w:bodyDiv w:val="1"/>
      <w:marLeft w:val="0"/>
      <w:marRight w:val="0"/>
      <w:marTop w:val="0"/>
      <w:marBottom w:val="0"/>
      <w:divBdr>
        <w:top w:val="none" w:sz="0" w:space="0" w:color="auto"/>
        <w:left w:val="none" w:sz="0" w:space="0" w:color="auto"/>
        <w:bottom w:val="none" w:sz="0" w:space="0" w:color="auto"/>
        <w:right w:val="none" w:sz="0" w:space="0" w:color="auto"/>
      </w:divBdr>
    </w:div>
    <w:div w:id="278799411">
      <w:bodyDiv w:val="1"/>
      <w:marLeft w:val="0"/>
      <w:marRight w:val="0"/>
      <w:marTop w:val="0"/>
      <w:marBottom w:val="0"/>
      <w:divBdr>
        <w:top w:val="none" w:sz="0" w:space="0" w:color="auto"/>
        <w:left w:val="none" w:sz="0" w:space="0" w:color="auto"/>
        <w:bottom w:val="none" w:sz="0" w:space="0" w:color="auto"/>
        <w:right w:val="none" w:sz="0" w:space="0" w:color="auto"/>
      </w:divBdr>
    </w:div>
    <w:div w:id="280035415">
      <w:bodyDiv w:val="1"/>
      <w:marLeft w:val="0"/>
      <w:marRight w:val="0"/>
      <w:marTop w:val="0"/>
      <w:marBottom w:val="0"/>
      <w:divBdr>
        <w:top w:val="none" w:sz="0" w:space="0" w:color="auto"/>
        <w:left w:val="none" w:sz="0" w:space="0" w:color="auto"/>
        <w:bottom w:val="none" w:sz="0" w:space="0" w:color="auto"/>
        <w:right w:val="none" w:sz="0" w:space="0" w:color="auto"/>
      </w:divBdr>
    </w:div>
    <w:div w:id="322243751">
      <w:bodyDiv w:val="1"/>
      <w:marLeft w:val="0"/>
      <w:marRight w:val="0"/>
      <w:marTop w:val="0"/>
      <w:marBottom w:val="0"/>
      <w:divBdr>
        <w:top w:val="none" w:sz="0" w:space="0" w:color="auto"/>
        <w:left w:val="none" w:sz="0" w:space="0" w:color="auto"/>
        <w:bottom w:val="none" w:sz="0" w:space="0" w:color="auto"/>
        <w:right w:val="none" w:sz="0" w:space="0" w:color="auto"/>
      </w:divBdr>
    </w:div>
    <w:div w:id="337583516">
      <w:bodyDiv w:val="1"/>
      <w:marLeft w:val="0"/>
      <w:marRight w:val="0"/>
      <w:marTop w:val="0"/>
      <w:marBottom w:val="0"/>
      <w:divBdr>
        <w:top w:val="none" w:sz="0" w:space="0" w:color="auto"/>
        <w:left w:val="none" w:sz="0" w:space="0" w:color="auto"/>
        <w:bottom w:val="none" w:sz="0" w:space="0" w:color="auto"/>
        <w:right w:val="none" w:sz="0" w:space="0" w:color="auto"/>
      </w:divBdr>
    </w:div>
    <w:div w:id="340815775">
      <w:bodyDiv w:val="1"/>
      <w:marLeft w:val="0"/>
      <w:marRight w:val="0"/>
      <w:marTop w:val="0"/>
      <w:marBottom w:val="0"/>
      <w:divBdr>
        <w:top w:val="none" w:sz="0" w:space="0" w:color="auto"/>
        <w:left w:val="none" w:sz="0" w:space="0" w:color="auto"/>
        <w:bottom w:val="none" w:sz="0" w:space="0" w:color="auto"/>
        <w:right w:val="none" w:sz="0" w:space="0" w:color="auto"/>
      </w:divBdr>
    </w:div>
    <w:div w:id="341471764">
      <w:bodyDiv w:val="1"/>
      <w:marLeft w:val="0"/>
      <w:marRight w:val="0"/>
      <w:marTop w:val="0"/>
      <w:marBottom w:val="0"/>
      <w:divBdr>
        <w:top w:val="none" w:sz="0" w:space="0" w:color="auto"/>
        <w:left w:val="none" w:sz="0" w:space="0" w:color="auto"/>
        <w:bottom w:val="none" w:sz="0" w:space="0" w:color="auto"/>
        <w:right w:val="none" w:sz="0" w:space="0" w:color="auto"/>
      </w:divBdr>
    </w:div>
    <w:div w:id="368989761">
      <w:bodyDiv w:val="1"/>
      <w:marLeft w:val="0"/>
      <w:marRight w:val="0"/>
      <w:marTop w:val="0"/>
      <w:marBottom w:val="0"/>
      <w:divBdr>
        <w:top w:val="none" w:sz="0" w:space="0" w:color="auto"/>
        <w:left w:val="none" w:sz="0" w:space="0" w:color="auto"/>
        <w:bottom w:val="none" w:sz="0" w:space="0" w:color="auto"/>
        <w:right w:val="none" w:sz="0" w:space="0" w:color="auto"/>
      </w:divBdr>
    </w:div>
    <w:div w:id="389158244">
      <w:bodyDiv w:val="1"/>
      <w:marLeft w:val="0"/>
      <w:marRight w:val="0"/>
      <w:marTop w:val="0"/>
      <w:marBottom w:val="0"/>
      <w:divBdr>
        <w:top w:val="none" w:sz="0" w:space="0" w:color="auto"/>
        <w:left w:val="none" w:sz="0" w:space="0" w:color="auto"/>
        <w:bottom w:val="none" w:sz="0" w:space="0" w:color="auto"/>
        <w:right w:val="none" w:sz="0" w:space="0" w:color="auto"/>
      </w:divBdr>
    </w:div>
    <w:div w:id="390538930">
      <w:bodyDiv w:val="1"/>
      <w:marLeft w:val="0"/>
      <w:marRight w:val="0"/>
      <w:marTop w:val="0"/>
      <w:marBottom w:val="0"/>
      <w:divBdr>
        <w:top w:val="none" w:sz="0" w:space="0" w:color="auto"/>
        <w:left w:val="none" w:sz="0" w:space="0" w:color="auto"/>
        <w:bottom w:val="none" w:sz="0" w:space="0" w:color="auto"/>
        <w:right w:val="none" w:sz="0" w:space="0" w:color="auto"/>
      </w:divBdr>
    </w:div>
    <w:div w:id="421996396">
      <w:bodyDiv w:val="1"/>
      <w:marLeft w:val="0"/>
      <w:marRight w:val="0"/>
      <w:marTop w:val="0"/>
      <w:marBottom w:val="0"/>
      <w:divBdr>
        <w:top w:val="none" w:sz="0" w:space="0" w:color="auto"/>
        <w:left w:val="none" w:sz="0" w:space="0" w:color="auto"/>
        <w:bottom w:val="none" w:sz="0" w:space="0" w:color="auto"/>
        <w:right w:val="none" w:sz="0" w:space="0" w:color="auto"/>
      </w:divBdr>
    </w:div>
    <w:div w:id="438258443">
      <w:bodyDiv w:val="1"/>
      <w:marLeft w:val="0"/>
      <w:marRight w:val="0"/>
      <w:marTop w:val="0"/>
      <w:marBottom w:val="0"/>
      <w:divBdr>
        <w:top w:val="none" w:sz="0" w:space="0" w:color="auto"/>
        <w:left w:val="none" w:sz="0" w:space="0" w:color="auto"/>
        <w:bottom w:val="none" w:sz="0" w:space="0" w:color="auto"/>
        <w:right w:val="none" w:sz="0" w:space="0" w:color="auto"/>
      </w:divBdr>
    </w:div>
    <w:div w:id="463348471">
      <w:bodyDiv w:val="1"/>
      <w:marLeft w:val="0"/>
      <w:marRight w:val="0"/>
      <w:marTop w:val="0"/>
      <w:marBottom w:val="0"/>
      <w:divBdr>
        <w:top w:val="none" w:sz="0" w:space="0" w:color="auto"/>
        <w:left w:val="none" w:sz="0" w:space="0" w:color="auto"/>
        <w:bottom w:val="none" w:sz="0" w:space="0" w:color="auto"/>
        <w:right w:val="none" w:sz="0" w:space="0" w:color="auto"/>
      </w:divBdr>
    </w:div>
    <w:div w:id="465661282">
      <w:bodyDiv w:val="1"/>
      <w:marLeft w:val="0"/>
      <w:marRight w:val="0"/>
      <w:marTop w:val="0"/>
      <w:marBottom w:val="0"/>
      <w:divBdr>
        <w:top w:val="none" w:sz="0" w:space="0" w:color="auto"/>
        <w:left w:val="none" w:sz="0" w:space="0" w:color="auto"/>
        <w:bottom w:val="none" w:sz="0" w:space="0" w:color="auto"/>
        <w:right w:val="none" w:sz="0" w:space="0" w:color="auto"/>
      </w:divBdr>
    </w:div>
    <w:div w:id="481432040">
      <w:bodyDiv w:val="1"/>
      <w:marLeft w:val="0"/>
      <w:marRight w:val="0"/>
      <w:marTop w:val="0"/>
      <w:marBottom w:val="0"/>
      <w:divBdr>
        <w:top w:val="none" w:sz="0" w:space="0" w:color="auto"/>
        <w:left w:val="none" w:sz="0" w:space="0" w:color="auto"/>
        <w:bottom w:val="none" w:sz="0" w:space="0" w:color="auto"/>
        <w:right w:val="none" w:sz="0" w:space="0" w:color="auto"/>
      </w:divBdr>
    </w:div>
    <w:div w:id="537284494">
      <w:bodyDiv w:val="1"/>
      <w:marLeft w:val="0"/>
      <w:marRight w:val="0"/>
      <w:marTop w:val="0"/>
      <w:marBottom w:val="0"/>
      <w:divBdr>
        <w:top w:val="none" w:sz="0" w:space="0" w:color="auto"/>
        <w:left w:val="none" w:sz="0" w:space="0" w:color="auto"/>
        <w:bottom w:val="none" w:sz="0" w:space="0" w:color="auto"/>
        <w:right w:val="none" w:sz="0" w:space="0" w:color="auto"/>
      </w:divBdr>
    </w:div>
    <w:div w:id="552933305">
      <w:bodyDiv w:val="1"/>
      <w:marLeft w:val="0"/>
      <w:marRight w:val="0"/>
      <w:marTop w:val="0"/>
      <w:marBottom w:val="0"/>
      <w:divBdr>
        <w:top w:val="none" w:sz="0" w:space="0" w:color="auto"/>
        <w:left w:val="none" w:sz="0" w:space="0" w:color="auto"/>
        <w:bottom w:val="none" w:sz="0" w:space="0" w:color="auto"/>
        <w:right w:val="none" w:sz="0" w:space="0" w:color="auto"/>
      </w:divBdr>
    </w:div>
    <w:div w:id="556745623">
      <w:bodyDiv w:val="1"/>
      <w:marLeft w:val="0"/>
      <w:marRight w:val="0"/>
      <w:marTop w:val="0"/>
      <w:marBottom w:val="0"/>
      <w:divBdr>
        <w:top w:val="none" w:sz="0" w:space="0" w:color="auto"/>
        <w:left w:val="none" w:sz="0" w:space="0" w:color="auto"/>
        <w:bottom w:val="none" w:sz="0" w:space="0" w:color="auto"/>
        <w:right w:val="none" w:sz="0" w:space="0" w:color="auto"/>
      </w:divBdr>
    </w:div>
    <w:div w:id="563024279">
      <w:bodyDiv w:val="1"/>
      <w:marLeft w:val="0"/>
      <w:marRight w:val="0"/>
      <w:marTop w:val="0"/>
      <w:marBottom w:val="0"/>
      <w:divBdr>
        <w:top w:val="none" w:sz="0" w:space="0" w:color="auto"/>
        <w:left w:val="none" w:sz="0" w:space="0" w:color="auto"/>
        <w:bottom w:val="none" w:sz="0" w:space="0" w:color="auto"/>
        <w:right w:val="none" w:sz="0" w:space="0" w:color="auto"/>
      </w:divBdr>
    </w:div>
    <w:div w:id="565144776">
      <w:bodyDiv w:val="1"/>
      <w:marLeft w:val="0"/>
      <w:marRight w:val="0"/>
      <w:marTop w:val="0"/>
      <w:marBottom w:val="0"/>
      <w:divBdr>
        <w:top w:val="none" w:sz="0" w:space="0" w:color="auto"/>
        <w:left w:val="none" w:sz="0" w:space="0" w:color="auto"/>
        <w:bottom w:val="none" w:sz="0" w:space="0" w:color="auto"/>
        <w:right w:val="none" w:sz="0" w:space="0" w:color="auto"/>
      </w:divBdr>
    </w:div>
    <w:div w:id="566183896">
      <w:bodyDiv w:val="1"/>
      <w:marLeft w:val="0"/>
      <w:marRight w:val="0"/>
      <w:marTop w:val="0"/>
      <w:marBottom w:val="0"/>
      <w:divBdr>
        <w:top w:val="none" w:sz="0" w:space="0" w:color="auto"/>
        <w:left w:val="none" w:sz="0" w:space="0" w:color="auto"/>
        <w:bottom w:val="none" w:sz="0" w:space="0" w:color="auto"/>
        <w:right w:val="none" w:sz="0" w:space="0" w:color="auto"/>
      </w:divBdr>
    </w:div>
    <w:div w:id="579366368">
      <w:bodyDiv w:val="1"/>
      <w:marLeft w:val="0"/>
      <w:marRight w:val="0"/>
      <w:marTop w:val="0"/>
      <w:marBottom w:val="0"/>
      <w:divBdr>
        <w:top w:val="none" w:sz="0" w:space="0" w:color="auto"/>
        <w:left w:val="none" w:sz="0" w:space="0" w:color="auto"/>
        <w:bottom w:val="none" w:sz="0" w:space="0" w:color="auto"/>
        <w:right w:val="none" w:sz="0" w:space="0" w:color="auto"/>
      </w:divBdr>
    </w:div>
    <w:div w:id="584611238">
      <w:bodyDiv w:val="1"/>
      <w:marLeft w:val="0"/>
      <w:marRight w:val="0"/>
      <w:marTop w:val="0"/>
      <w:marBottom w:val="0"/>
      <w:divBdr>
        <w:top w:val="none" w:sz="0" w:space="0" w:color="auto"/>
        <w:left w:val="none" w:sz="0" w:space="0" w:color="auto"/>
        <w:bottom w:val="none" w:sz="0" w:space="0" w:color="auto"/>
        <w:right w:val="none" w:sz="0" w:space="0" w:color="auto"/>
      </w:divBdr>
    </w:div>
    <w:div w:id="585768580">
      <w:bodyDiv w:val="1"/>
      <w:marLeft w:val="0"/>
      <w:marRight w:val="0"/>
      <w:marTop w:val="0"/>
      <w:marBottom w:val="0"/>
      <w:divBdr>
        <w:top w:val="none" w:sz="0" w:space="0" w:color="auto"/>
        <w:left w:val="none" w:sz="0" w:space="0" w:color="auto"/>
        <w:bottom w:val="none" w:sz="0" w:space="0" w:color="auto"/>
        <w:right w:val="none" w:sz="0" w:space="0" w:color="auto"/>
      </w:divBdr>
    </w:div>
    <w:div w:id="587232807">
      <w:bodyDiv w:val="1"/>
      <w:marLeft w:val="0"/>
      <w:marRight w:val="0"/>
      <w:marTop w:val="0"/>
      <w:marBottom w:val="0"/>
      <w:divBdr>
        <w:top w:val="none" w:sz="0" w:space="0" w:color="auto"/>
        <w:left w:val="none" w:sz="0" w:space="0" w:color="auto"/>
        <w:bottom w:val="none" w:sz="0" w:space="0" w:color="auto"/>
        <w:right w:val="none" w:sz="0" w:space="0" w:color="auto"/>
      </w:divBdr>
    </w:div>
    <w:div w:id="596788984">
      <w:bodyDiv w:val="1"/>
      <w:marLeft w:val="0"/>
      <w:marRight w:val="0"/>
      <w:marTop w:val="0"/>
      <w:marBottom w:val="0"/>
      <w:divBdr>
        <w:top w:val="none" w:sz="0" w:space="0" w:color="auto"/>
        <w:left w:val="none" w:sz="0" w:space="0" w:color="auto"/>
        <w:bottom w:val="none" w:sz="0" w:space="0" w:color="auto"/>
        <w:right w:val="none" w:sz="0" w:space="0" w:color="auto"/>
      </w:divBdr>
    </w:div>
    <w:div w:id="598176891">
      <w:bodyDiv w:val="1"/>
      <w:marLeft w:val="0"/>
      <w:marRight w:val="0"/>
      <w:marTop w:val="0"/>
      <w:marBottom w:val="0"/>
      <w:divBdr>
        <w:top w:val="none" w:sz="0" w:space="0" w:color="auto"/>
        <w:left w:val="none" w:sz="0" w:space="0" w:color="auto"/>
        <w:bottom w:val="none" w:sz="0" w:space="0" w:color="auto"/>
        <w:right w:val="none" w:sz="0" w:space="0" w:color="auto"/>
      </w:divBdr>
    </w:div>
    <w:div w:id="598833489">
      <w:bodyDiv w:val="1"/>
      <w:marLeft w:val="0"/>
      <w:marRight w:val="0"/>
      <w:marTop w:val="0"/>
      <w:marBottom w:val="0"/>
      <w:divBdr>
        <w:top w:val="none" w:sz="0" w:space="0" w:color="auto"/>
        <w:left w:val="none" w:sz="0" w:space="0" w:color="auto"/>
        <w:bottom w:val="none" w:sz="0" w:space="0" w:color="auto"/>
        <w:right w:val="none" w:sz="0" w:space="0" w:color="auto"/>
      </w:divBdr>
    </w:div>
    <w:div w:id="599143304">
      <w:bodyDiv w:val="1"/>
      <w:marLeft w:val="0"/>
      <w:marRight w:val="0"/>
      <w:marTop w:val="0"/>
      <w:marBottom w:val="0"/>
      <w:divBdr>
        <w:top w:val="none" w:sz="0" w:space="0" w:color="auto"/>
        <w:left w:val="none" w:sz="0" w:space="0" w:color="auto"/>
        <w:bottom w:val="none" w:sz="0" w:space="0" w:color="auto"/>
        <w:right w:val="none" w:sz="0" w:space="0" w:color="auto"/>
      </w:divBdr>
    </w:div>
    <w:div w:id="615870028">
      <w:bodyDiv w:val="1"/>
      <w:marLeft w:val="0"/>
      <w:marRight w:val="0"/>
      <w:marTop w:val="0"/>
      <w:marBottom w:val="0"/>
      <w:divBdr>
        <w:top w:val="none" w:sz="0" w:space="0" w:color="auto"/>
        <w:left w:val="none" w:sz="0" w:space="0" w:color="auto"/>
        <w:bottom w:val="none" w:sz="0" w:space="0" w:color="auto"/>
        <w:right w:val="none" w:sz="0" w:space="0" w:color="auto"/>
      </w:divBdr>
    </w:div>
    <w:div w:id="623117476">
      <w:bodyDiv w:val="1"/>
      <w:marLeft w:val="0"/>
      <w:marRight w:val="0"/>
      <w:marTop w:val="0"/>
      <w:marBottom w:val="0"/>
      <w:divBdr>
        <w:top w:val="none" w:sz="0" w:space="0" w:color="auto"/>
        <w:left w:val="none" w:sz="0" w:space="0" w:color="auto"/>
        <w:bottom w:val="none" w:sz="0" w:space="0" w:color="auto"/>
        <w:right w:val="none" w:sz="0" w:space="0" w:color="auto"/>
      </w:divBdr>
    </w:div>
    <w:div w:id="625626717">
      <w:bodyDiv w:val="1"/>
      <w:marLeft w:val="0"/>
      <w:marRight w:val="0"/>
      <w:marTop w:val="0"/>
      <w:marBottom w:val="0"/>
      <w:divBdr>
        <w:top w:val="none" w:sz="0" w:space="0" w:color="auto"/>
        <w:left w:val="none" w:sz="0" w:space="0" w:color="auto"/>
        <w:bottom w:val="none" w:sz="0" w:space="0" w:color="auto"/>
        <w:right w:val="none" w:sz="0" w:space="0" w:color="auto"/>
      </w:divBdr>
    </w:div>
    <w:div w:id="629670897">
      <w:bodyDiv w:val="1"/>
      <w:marLeft w:val="0"/>
      <w:marRight w:val="0"/>
      <w:marTop w:val="0"/>
      <w:marBottom w:val="0"/>
      <w:divBdr>
        <w:top w:val="none" w:sz="0" w:space="0" w:color="auto"/>
        <w:left w:val="none" w:sz="0" w:space="0" w:color="auto"/>
        <w:bottom w:val="none" w:sz="0" w:space="0" w:color="auto"/>
        <w:right w:val="none" w:sz="0" w:space="0" w:color="auto"/>
      </w:divBdr>
    </w:div>
    <w:div w:id="665019144">
      <w:bodyDiv w:val="1"/>
      <w:marLeft w:val="0"/>
      <w:marRight w:val="0"/>
      <w:marTop w:val="0"/>
      <w:marBottom w:val="0"/>
      <w:divBdr>
        <w:top w:val="none" w:sz="0" w:space="0" w:color="auto"/>
        <w:left w:val="none" w:sz="0" w:space="0" w:color="auto"/>
        <w:bottom w:val="none" w:sz="0" w:space="0" w:color="auto"/>
        <w:right w:val="none" w:sz="0" w:space="0" w:color="auto"/>
      </w:divBdr>
    </w:div>
    <w:div w:id="715810541">
      <w:bodyDiv w:val="1"/>
      <w:marLeft w:val="0"/>
      <w:marRight w:val="0"/>
      <w:marTop w:val="0"/>
      <w:marBottom w:val="0"/>
      <w:divBdr>
        <w:top w:val="none" w:sz="0" w:space="0" w:color="auto"/>
        <w:left w:val="none" w:sz="0" w:space="0" w:color="auto"/>
        <w:bottom w:val="none" w:sz="0" w:space="0" w:color="auto"/>
        <w:right w:val="none" w:sz="0" w:space="0" w:color="auto"/>
      </w:divBdr>
    </w:div>
    <w:div w:id="720251363">
      <w:bodyDiv w:val="1"/>
      <w:marLeft w:val="0"/>
      <w:marRight w:val="0"/>
      <w:marTop w:val="0"/>
      <w:marBottom w:val="0"/>
      <w:divBdr>
        <w:top w:val="none" w:sz="0" w:space="0" w:color="auto"/>
        <w:left w:val="none" w:sz="0" w:space="0" w:color="auto"/>
        <w:bottom w:val="none" w:sz="0" w:space="0" w:color="auto"/>
        <w:right w:val="none" w:sz="0" w:space="0" w:color="auto"/>
      </w:divBdr>
    </w:div>
    <w:div w:id="741755956">
      <w:bodyDiv w:val="1"/>
      <w:marLeft w:val="0"/>
      <w:marRight w:val="0"/>
      <w:marTop w:val="0"/>
      <w:marBottom w:val="0"/>
      <w:divBdr>
        <w:top w:val="none" w:sz="0" w:space="0" w:color="auto"/>
        <w:left w:val="none" w:sz="0" w:space="0" w:color="auto"/>
        <w:bottom w:val="none" w:sz="0" w:space="0" w:color="auto"/>
        <w:right w:val="none" w:sz="0" w:space="0" w:color="auto"/>
      </w:divBdr>
    </w:div>
    <w:div w:id="747964276">
      <w:bodyDiv w:val="1"/>
      <w:marLeft w:val="0"/>
      <w:marRight w:val="0"/>
      <w:marTop w:val="0"/>
      <w:marBottom w:val="0"/>
      <w:divBdr>
        <w:top w:val="none" w:sz="0" w:space="0" w:color="auto"/>
        <w:left w:val="none" w:sz="0" w:space="0" w:color="auto"/>
        <w:bottom w:val="none" w:sz="0" w:space="0" w:color="auto"/>
        <w:right w:val="none" w:sz="0" w:space="0" w:color="auto"/>
      </w:divBdr>
    </w:div>
    <w:div w:id="748313958">
      <w:bodyDiv w:val="1"/>
      <w:marLeft w:val="0"/>
      <w:marRight w:val="0"/>
      <w:marTop w:val="0"/>
      <w:marBottom w:val="0"/>
      <w:divBdr>
        <w:top w:val="none" w:sz="0" w:space="0" w:color="auto"/>
        <w:left w:val="none" w:sz="0" w:space="0" w:color="auto"/>
        <w:bottom w:val="none" w:sz="0" w:space="0" w:color="auto"/>
        <w:right w:val="none" w:sz="0" w:space="0" w:color="auto"/>
      </w:divBdr>
    </w:div>
    <w:div w:id="751240599">
      <w:bodyDiv w:val="1"/>
      <w:marLeft w:val="0"/>
      <w:marRight w:val="0"/>
      <w:marTop w:val="0"/>
      <w:marBottom w:val="0"/>
      <w:divBdr>
        <w:top w:val="none" w:sz="0" w:space="0" w:color="auto"/>
        <w:left w:val="none" w:sz="0" w:space="0" w:color="auto"/>
        <w:bottom w:val="none" w:sz="0" w:space="0" w:color="auto"/>
        <w:right w:val="none" w:sz="0" w:space="0" w:color="auto"/>
      </w:divBdr>
    </w:div>
    <w:div w:id="753936265">
      <w:bodyDiv w:val="1"/>
      <w:marLeft w:val="0"/>
      <w:marRight w:val="0"/>
      <w:marTop w:val="0"/>
      <w:marBottom w:val="0"/>
      <w:divBdr>
        <w:top w:val="none" w:sz="0" w:space="0" w:color="auto"/>
        <w:left w:val="none" w:sz="0" w:space="0" w:color="auto"/>
        <w:bottom w:val="none" w:sz="0" w:space="0" w:color="auto"/>
        <w:right w:val="none" w:sz="0" w:space="0" w:color="auto"/>
      </w:divBdr>
    </w:div>
    <w:div w:id="787890306">
      <w:bodyDiv w:val="1"/>
      <w:marLeft w:val="0"/>
      <w:marRight w:val="0"/>
      <w:marTop w:val="0"/>
      <w:marBottom w:val="0"/>
      <w:divBdr>
        <w:top w:val="none" w:sz="0" w:space="0" w:color="auto"/>
        <w:left w:val="none" w:sz="0" w:space="0" w:color="auto"/>
        <w:bottom w:val="none" w:sz="0" w:space="0" w:color="auto"/>
        <w:right w:val="none" w:sz="0" w:space="0" w:color="auto"/>
      </w:divBdr>
    </w:div>
    <w:div w:id="796797959">
      <w:bodyDiv w:val="1"/>
      <w:marLeft w:val="0"/>
      <w:marRight w:val="0"/>
      <w:marTop w:val="0"/>
      <w:marBottom w:val="0"/>
      <w:divBdr>
        <w:top w:val="none" w:sz="0" w:space="0" w:color="auto"/>
        <w:left w:val="none" w:sz="0" w:space="0" w:color="auto"/>
        <w:bottom w:val="none" w:sz="0" w:space="0" w:color="auto"/>
        <w:right w:val="none" w:sz="0" w:space="0" w:color="auto"/>
      </w:divBdr>
    </w:div>
    <w:div w:id="834960316">
      <w:bodyDiv w:val="1"/>
      <w:marLeft w:val="0"/>
      <w:marRight w:val="0"/>
      <w:marTop w:val="0"/>
      <w:marBottom w:val="0"/>
      <w:divBdr>
        <w:top w:val="none" w:sz="0" w:space="0" w:color="auto"/>
        <w:left w:val="none" w:sz="0" w:space="0" w:color="auto"/>
        <w:bottom w:val="none" w:sz="0" w:space="0" w:color="auto"/>
        <w:right w:val="none" w:sz="0" w:space="0" w:color="auto"/>
      </w:divBdr>
    </w:div>
    <w:div w:id="853227657">
      <w:bodyDiv w:val="1"/>
      <w:marLeft w:val="0"/>
      <w:marRight w:val="0"/>
      <w:marTop w:val="0"/>
      <w:marBottom w:val="0"/>
      <w:divBdr>
        <w:top w:val="none" w:sz="0" w:space="0" w:color="auto"/>
        <w:left w:val="none" w:sz="0" w:space="0" w:color="auto"/>
        <w:bottom w:val="none" w:sz="0" w:space="0" w:color="auto"/>
        <w:right w:val="none" w:sz="0" w:space="0" w:color="auto"/>
      </w:divBdr>
    </w:div>
    <w:div w:id="871963842">
      <w:bodyDiv w:val="1"/>
      <w:marLeft w:val="0"/>
      <w:marRight w:val="0"/>
      <w:marTop w:val="0"/>
      <w:marBottom w:val="0"/>
      <w:divBdr>
        <w:top w:val="none" w:sz="0" w:space="0" w:color="auto"/>
        <w:left w:val="none" w:sz="0" w:space="0" w:color="auto"/>
        <w:bottom w:val="none" w:sz="0" w:space="0" w:color="auto"/>
        <w:right w:val="none" w:sz="0" w:space="0" w:color="auto"/>
      </w:divBdr>
    </w:div>
    <w:div w:id="876432234">
      <w:bodyDiv w:val="1"/>
      <w:marLeft w:val="0"/>
      <w:marRight w:val="0"/>
      <w:marTop w:val="0"/>
      <w:marBottom w:val="0"/>
      <w:divBdr>
        <w:top w:val="none" w:sz="0" w:space="0" w:color="auto"/>
        <w:left w:val="none" w:sz="0" w:space="0" w:color="auto"/>
        <w:bottom w:val="none" w:sz="0" w:space="0" w:color="auto"/>
        <w:right w:val="none" w:sz="0" w:space="0" w:color="auto"/>
      </w:divBdr>
    </w:div>
    <w:div w:id="888222205">
      <w:bodyDiv w:val="1"/>
      <w:marLeft w:val="0"/>
      <w:marRight w:val="0"/>
      <w:marTop w:val="0"/>
      <w:marBottom w:val="0"/>
      <w:divBdr>
        <w:top w:val="none" w:sz="0" w:space="0" w:color="auto"/>
        <w:left w:val="none" w:sz="0" w:space="0" w:color="auto"/>
        <w:bottom w:val="none" w:sz="0" w:space="0" w:color="auto"/>
        <w:right w:val="none" w:sz="0" w:space="0" w:color="auto"/>
      </w:divBdr>
    </w:div>
    <w:div w:id="897396989">
      <w:bodyDiv w:val="1"/>
      <w:marLeft w:val="0"/>
      <w:marRight w:val="0"/>
      <w:marTop w:val="0"/>
      <w:marBottom w:val="0"/>
      <w:divBdr>
        <w:top w:val="none" w:sz="0" w:space="0" w:color="auto"/>
        <w:left w:val="none" w:sz="0" w:space="0" w:color="auto"/>
        <w:bottom w:val="none" w:sz="0" w:space="0" w:color="auto"/>
        <w:right w:val="none" w:sz="0" w:space="0" w:color="auto"/>
      </w:divBdr>
    </w:div>
    <w:div w:id="908230516">
      <w:bodyDiv w:val="1"/>
      <w:marLeft w:val="0"/>
      <w:marRight w:val="0"/>
      <w:marTop w:val="0"/>
      <w:marBottom w:val="0"/>
      <w:divBdr>
        <w:top w:val="none" w:sz="0" w:space="0" w:color="auto"/>
        <w:left w:val="none" w:sz="0" w:space="0" w:color="auto"/>
        <w:bottom w:val="none" w:sz="0" w:space="0" w:color="auto"/>
        <w:right w:val="none" w:sz="0" w:space="0" w:color="auto"/>
      </w:divBdr>
    </w:div>
    <w:div w:id="909537457">
      <w:bodyDiv w:val="1"/>
      <w:marLeft w:val="0"/>
      <w:marRight w:val="0"/>
      <w:marTop w:val="0"/>
      <w:marBottom w:val="0"/>
      <w:divBdr>
        <w:top w:val="none" w:sz="0" w:space="0" w:color="auto"/>
        <w:left w:val="none" w:sz="0" w:space="0" w:color="auto"/>
        <w:bottom w:val="none" w:sz="0" w:space="0" w:color="auto"/>
        <w:right w:val="none" w:sz="0" w:space="0" w:color="auto"/>
      </w:divBdr>
    </w:div>
    <w:div w:id="914516476">
      <w:bodyDiv w:val="1"/>
      <w:marLeft w:val="0"/>
      <w:marRight w:val="0"/>
      <w:marTop w:val="0"/>
      <w:marBottom w:val="0"/>
      <w:divBdr>
        <w:top w:val="none" w:sz="0" w:space="0" w:color="auto"/>
        <w:left w:val="none" w:sz="0" w:space="0" w:color="auto"/>
        <w:bottom w:val="none" w:sz="0" w:space="0" w:color="auto"/>
        <w:right w:val="none" w:sz="0" w:space="0" w:color="auto"/>
      </w:divBdr>
    </w:div>
    <w:div w:id="920142087">
      <w:bodyDiv w:val="1"/>
      <w:marLeft w:val="0"/>
      <w:marRight w:val="0"/>
      <w:marTop w:val="0"/>
      <w:marBottom w:val="0"/>
      <w:divBdr>
        <w:top w:val="none" w:sz="0" w:space="0" w:color="auto"/>
        <w:left w:val="none" w:sz="0" w:space="0" w:color="auto"/>
        <w:bottom w:val="none" w:sz="0" w:space="0" w:color="auto"/>
        <w:right w:val="none" w:sz="0" w:space="0" w:color="auto"/>
      </w:divBdr>
    </w:div>
    <w:div w:id="935401264">
      <w:bodyDiv w:val="1"/>
      <w:marLeft w:val="0"/>
      <w:marRight w:val="0"/>
      <w:marTop w:val="0"/>
      <w:marBottom w:val="0"/>
      <w:divBdr>
        <w:top w:val="none" w:sz="0" w:space="0" w:color="auto"/>
        <w:left w:val="none" w:sz="0" w:space="0" w:color="auto"/>
        <w:bottom w:val="none" w:sz="0" w:space="0" w:color="auto"/>
        <w:right w:val="none" w:sz="0" w:space="0" w:color="auto"/>
      </w:divBdr>
    </w:div>
    <w:div w:id="945892025">
      <w:bodyDiv w:val="1"/>
      <w:marLeft w:val="0"/>
      <w:marRight w:val="0"/>
      <w:marTop w:val="0"/>
      <w:marBottom w:val="0"/>
      <w:divBdr>
        <w:top w:val="none" w:sz="0" w:space="0" w:color="auto"/>
        <w:left w:val="none" w:sz="0" w:space="0" w:color="auto"/>
        <w:bottom w:val="none" w:sz="0" w:space="0" w:color="auto"/>
        <w:right w:val="none" w:sz="0" w:space="0" w:color="auto"/>
      </w:divBdr>
    </w:div>
    <w:div w:id="963540021">
      <w:bodyDiv w:val="1"/>
      <w:marLeft w:val="0"/>
      <w:marRight w:val="0"/>
      <w:marTop w:val="0"/>
      <w:marBottom w:val="0"/>
      <w:divBdr>
        <w:top w:val="none" w:sz="0" w:space="0" w:color="auto"/>
        <w:left w:val="none" w:sz="0" w:space="0" w:color="auto"/>
        <w:bottom w:val="none" w:sz="0" w:space="0" w:color="auto"/>
        <w:right w:val="none" w:sz="0" w:space="0" w:color="auto"/>
      </w:divBdr>
    </w:div>
    <w:div w:id="985859149">
      <w:bodyDiv w:val="1"/>
      <w:marLeft w:val="0"/>
      <w:marRight w:val="0"/>
      <w:marTop w:val="0"/>
      <w:marBottom w:val="0"/>
      <w:divBdr>
        <w:top w:val="none" w:sz="0" w:space="0" w:color="auto"/>
        <w:left w:val="none" w:sz="0" w:space="0" w:color="auto"/>
        <w:bottom w:val="none" w:sz="0" w:space="0" w:color="auto"/>
        <w:right w:val="none" w:sz="0" w:space="0" w:color="auto"/>
      </w:divBdr>
    </w:div>
    <w:div w:id="1000355261">
      <w:bodyDiv w:val="1"/>
      <w:marLeft w:val="0"/>
      <w:marRight w:val="0"/>
      <w:marTop w:val="0"/>
      <w:marBottom w:val="0"/>
      <w:divBdr>
        <w:top w:val="none" w:sz="0" w:space="0" w:color="auto"/>
        <w:left w:val="none" w:sz="0" w:space="0" w:color="auto"/>
        <w:bottom w:val="none" w:sz="0" w:space="0" w:color="auto"/>
        <w:right w:val="none" w:sz="0" w:space="0" w:color="auto"/>
      </w:divBdr>
    </w:div>
    <w:div w:id="1007631953">
      <w:bodyDiv w:val="1"/>
      <w:marLeft w:val="0"/>
      <w:marRight w:val="0"/>
      <w:marTop w:val="0"/>
      <w:marBottom w:val="0"/>
      <w:divBdr>
        <w:top w:val="none" w:sz="0" w:space="0" w:color="auto"/>
        <w:left w:val="none" w:sz="0" w:space="0" w:color="auto"/>
        <w:bottom w:val="none" w:sz="0" w:space="0" w:color="auto"/>
        <w:right w:val="none" w:sz="0" w:space="0" w:color="auto"/>
      </w:divBdr>
    </w:div>
    <w:div w:id="1025715658">
      <w:bodyDiv w:val="1"/>
      <w:marLeft w:val="0"/>
      <w:marRight w:val="0"/>
      <w:marTop w:val="0"/>
      <w:marBottom w:val="0"/>
      <w:divBdr>
        <w:top w:val="none" w:sz="0" w:space="0" w:color="auto"/>
        <w:left w:val="none" w:sz="0" w:space="0" w:color="auto"/>
        <w:bottom w:val="none" w:sz="0" w:space="0" w:color="auto"/>
        <w:right w:val="none" w:sz="0" w:space="0" w:color="auto"/>
      </w:divBdr>
    </w:div>
    <w:div w:id="1035079841">
      <w:bodyDiv w:val="1"/>
      <w:marLeft w:val="0"/>
      <w:marRight w:val="0"/>
      <w:marTop w:val="0"/>
      <w:marBottom w:val="0"/>
      <w:divBdr>
        <w:top w:val="none" w:sz="0" w:space="0" w:color="auto"/>
        <w:left w:val="none" w:sz="0" w:space="0" w:color="auto"/>
        <w:bottom w:val="none" w:sz="0" w:space="0" w:color="auto"/>
        <w:right w:val="none" w:sz="0" w:space="0" w:color="auto"/>
      </w:divBdr>
    </w:div>
    <w:div w:id="1043022158">
      <w:bodyDiv w:val="1"/>
      <w:marLeft w:val="0"/>
      <w:marRight w:val="0"/>
      <w:marTop w:val="0"/>
      <w:marBottom w:val="0"/>
      <w:divBdr>
        <w:top w:val="none" w:sz="0" w:space="0" w:color="auto"/>
        <w:left w:val="none" w:sz="0" w:space="0" w:color="auto"/>
        <w:bottom w:val="none" w:sz="0" w:space="0" w:color="auto"/>
        <w:right w:val="none" w:sz="0" w:space="0" w:color="auto"/>
      </w:divBdr>
    </w:div>
    <w:div w:id="1049232894">
      <w:bodyDiv w:val="1"/>
      <w:marLeft w:val="0"/>
      <w:marRight w:val="0"/>
      <w:marTop w:val="0"/>
      <w:marBottom w:val="0"/>
      <w:divBdr>
        <w:top w:val="none" w:sz="0" w:space="0" w:color="auto"/>
        <w:left w:val="none" w:sz="0" w:space="0" w:color="auto"/>
        <w:bottom w:val="none" w:sz="0" w:space="0" w:color="auto"/>
        <w:right w:val="none" w:sz="0" w:space="0" w:color="auto"/>
      </w:divBdr>
    </w:div>
    <w:div w:id="1058364484">
      <w:bodyDiv w:val="1"/>
      <w:marLeft w:val="0"/>
      <w:marRight w:val="0"/>
      <w:marTop w:val="0"/>
      <w:marBottom w:val="0"/>
      <w:divBdr>
        <w:top w:val="none" w:sz="0" w:space="0" w:color="auto"/>
        <w:left w:val="none" w:sz="0" w:space="0" w:color="auto"/>
        <w:bottom w:val="none" w:sz="0" w:space="0" w:color="auto"/>
        <w:right w:val="none" w:sz="0" w:space="0" w:color="auto"/>
      </w:divBdr>
    </w:div>
    <w:div w:id="1078745765">
      <w:bodyDiv w:val="1"/>
      <w:marLeft w:val="0"/>
      <w:marRight w:val="0"/>
      <w:marTop w:val="0"/>
      <w:marBottom w:val="0"/>
      <w:divBdr>
        <w:top w:val="none" w:sz="0" w:space="0" w:color="auto"/>
        <w:left w:val="none" w:sz="0" w:space="0" w:color="auto"/>
        <w:bottom w:val="none" w:sz="0" w:space="0" w:color="auto"/>
        <w:right w:val="none" w:sz="0" w:space="0" w:color="auto"/>
      </w:divBdr>
    </w:div>
    <w:div w:id="1085688213">
      <w:bodyDiv w:val="1"/>
      <w:marLeft w:val="0"/>
      <w:marRight w:val="0"/>
      <w:marTop w:val="0"/>
      <w:marBottom w:val="0"/>
      <w:divBdr>
        <w:top w:val="none" w:sz="0" w:space="0" w:color="auto"/>
        <w:left w:val="none" w:sz="0" w:space="0" w:color="auto"/>
        <w:bottom w:val="none" w:sz="0" w:space="0" w:color="auto"/>
        <w:right w:val="none" w:sz="0" w:space="0" w:color="auto"/>
      </w:divBdr>
    </w:div>
    <w:div w:id="1087269656">
      <w:bodyDiv w:val="1"/>
      <w:marLeft w:val="0"/>
      <w:marRight w:val="0"/>
      <w:marTop w:val="0"/>
      <w:marBottom w:val="0"/>
      <w:divBdr>
        <w:top w:val="none" w:sz="0" w:space="0" w:color="auto"/>
        <w:left w:val="none" w:sz="0" w:space="0" w:color="auto"/>
        <w:bottom w:val="none" w:sz="0" w:space="0" w:color="auto"/>
        <w:right w:val="none" w:sz="0" w:space="0" w:color="auto"/>
      </w:divBdr>
    </w:div>
    <w:div w:id="1095440328">
      <w:bodyDiv w:val="1"/>
      <w:marLeft w:val="0"/>
      <w:marRight w:val="0"/>
      <w:marTop w:val="0"/>
      <w:marBottom w:val="0"/>
      <w:divBdr>
        <w:top w:val="none" w:sz="0" w:space="0" w:color="auto"/>
        <w:left w:val="none" w:sz="0" w:space="0" w:color="auto"/>
        <w:bottom w:val="none" w:sz="0" w:space="0" w:color="auto"/>
        <w:right w:val="none" w:sz="0" w:space="0" w:color="auto"/>
      </w:divBdr>
    </w:div>
    <w:div w:id="1121997996">
      <w:bodyDiv w:val="1"/>
      <w:marLeft w:val="0"/>
      <w:marRight w:val="0"/>
      <w:marTop w:val="0"/>
      <w:marBottom w:val="0"/>
      <w:divBdr>
        <w:top w:val="none" w:sz="0" w:space="0" w:color="auto"/>
        <w:left w:val="none" w:sz="0" w:space="0" w:color="auto"/>
        <w:bottom w:val="none" w:sz="0" w:space="0" w:color="auto"/>
        <w:right w:val="none" w:sz="0" w:space="0" w:color="auto"/>
      </w:divBdr>
    </w:div>
    <w:div w:id="1145077391">
      <w:bodyDiv w:val="1"/>
      <w:marLeft w:val="0"/>
      <w:marRight w:val="0"/>
      <w:marTop w:val="0"/>
      <w:marBottom w:val="0"/>
      <w:divBdr>
        <w:top w:val="none" w:sz="0" w:space="0" w:color="auto"/>
        <w:left w:val="none" w:sz="0" w:space="0" w:color="auto"/>
        <w:bottom w:val="none" w:sz="0" w:space="0" w:color="auto"/>
        <w:right w:val="none" w:sz="0" w:space="0" w:color="auto"/>
      </w:divBdr>
    </w:div>
    <w:div w:id="1146513739">
      <w:bodyDiv w:val="1"/>
      <w:marLeft w:val="0"/>
      <w:marRight w:val="0"/>
      <w:marTop w:val="0"/>
      <w:marBottom w:val="0"/>
      <w:divBdr>
        <w:top w:val="none" w:sz="0" w:space="0" w:color="auto"/>
        <w:left w:val="none" w:sz="0" w:space="0" w:color="auto"/>
        <w:bottom w:val="none" w:sz="0" w:space="0" w:color="auto"/>
        <w:right w:val="none" w:sz="0" w:space="0" w:color="auto"/>
      </w:divBdr>
    </w:div>
    <w:div w:id="1150944157">
      <w:bodyDiv w:val="1"/>
      <w:marLeft w:val="0"/>
      <w:marRight w:val="0"/>
      <w:marTop w:val="0"/>
      <w:marBottom w:val="0"/>
      <w:divBdr>
        <w:top w:val="none" w:sz="0" w:space="0" w:color="auto"/>
        <w:left w:val="none" w:sz="0" w:space="0" w:color="auto"/>
        <w:bottom w:val="none" w:sz="0" w:space="0" w:color="auto"/>
        <w:right w:val="none" w:sz="0" w:space="0" w:color="auto"/>
      </w:divBdr>
    </w:div>
    <w:div w:id="1163080627">
      <w:bodyDiv w:val="1"/>
      <w:marLeft w:val="0"/>
      <w:marRight w:val="0"/>
      <w:marTop w:val="0"/>
      <w:marBottom w:val="0"/>
      <w:divBdr>
        <w:top w:val="none" w:sz="0" w:space="0" w:color="auto"/>
        <w:left w:val="none" w:sz="0" w:space="0" w:color="auto"/>
        <w:bottom w:val="none" w:sz="0" w:space="0" w:color="auto"/>
        <w:right w:val="none" w:sz="0" w:space="0" w:color="auto"/>
      </w:divBdr>
    </w:div>
    <w:div w:id="1185052497">
      <w:bodyDiv w:val="1"/>
      <w:marLeft w:val="0"/>
      <w:marRight w:val="0"/>
      <w:marTop w:val="0"/>
      <w:marBottom w:val="0"/>
      <w:divBdr>
        <w:top w:val="none" w:sz="0" w:space="0" w:color="auto"/>
        <w:left w:val="none" w:sz="0" w:space="0" w:color="auto"/>
        <w:bottom w:val="none" w:sz="0" w:space="0" w:color="auto"/>
        <w:right w:val="none" w:sz="0" w:space="0" w:color="auto"/>
      </w:divBdr>
    </w:div>
    <w:div w:id="1193299905">
      <w:bodyDiv w:val="1"/>
      <w:marLeft w:val="0"/>
      <w:marRight w:val="0"/>
      <w:marTop w:val="0"/>
      <w:marBottom w:val="0"/>
      <w:divBdr>
        <w:top w:val="none" w:sz="0" w:space="0" w:color="auto"/>
        <w:left w:val="none" w:sz="0" w:space="0" w:color="auto"/>
        <w:bottom w:val="none" w:sz="0" w:space="0" w:color="auto"/>
        <w:right w:val="none" w:sz="0" w:space="0" w:color="auto"/>
      </w:divBdr>
    </w:div>
    <w:div w:id="1204052199">
      <w:bodyDiv w:val="1"/>
      <w:marLeft w:val="0"/>
      <w:marRight w:val="0"/>
      <w:marTop w:val="0"/>
      <w:marBottom w:val="0"/>
      <w:divBdr>
        <w:top w:val="none" w:sz="0" w:space="0" w:color="auto"/>
        <w:left w:val="none" w:sz="0" w:space="0" w:color="auto"/>
        <w:bottom w:val="none" w:sz="0" w:space="0" w:color="auto"/>
        <w:right w:val="none" w:sz="0" w:space="0" w:color="auto"/>
      </w:divBdr>
    </w:div>
    <w:div w:id="1243684051">
      <w:bodyDiv w:val="1"/>
      <w:marLeft w:val="0"/>
      <w:marRight w:val="0"/>
      <w:marTop w:val="0"/>
      <w:marBottom w:val="0"/>
      <w:divBdr>
        <w:top w:val="none" w:sz="0" w:space="0" w:color="auto"/>
        <w:left w:val="none" w:sz="0" w:space="0" w:color="auto"/>
        <w:bottom w:val="none" w:sz="0" w:space="0" w:color="auto"/>
        <w:right w:val="none" w:sz="0" w:space="0" w:color="auto"/>
      </w:divBdr>
    </w:div>
    <w:div w:id="1257515502">
      <w:bodyDiv w:val="1"/>
      <w:marLeft w:val="0"/>
      <w:marRight w:val="0"/>
      <w:marTop w:val="0"/>
      <w:marBottom w:val="0"/>
      <w:divBdr>
        <w:top w:val="none" w:sz="0" w:space="0" w:color="auto"/>
        <w:left w:val="none" w:sz="0" w:space="0" w:color="auto"/>
        <w:bottom w:val="none" w:sz="0" w:space="0" w:color="auto"/>
        <w:right w:val="none" w:sz="0" w:space="0" w:color="auto"/>
      </w:divBdr>
    </w:div>
    <w:div w:id="1258364841">
      <w:bodyDiv w:val="1"/>
      <w:marLeft w:val="0"/>
      <w:marRight w:val="0"/>
      <w:marTop w:val="0"/>
      <w:marBottom w:val="0"/>
      <w:divBdr>
        <w:top w:val="none" w:sz="0" w:space="0" w:color="auto"/>
        <w:left w:val="none" w:sz="0" w:space="0" w:color="auto"/>
        <w:bottom w:val="none" w:sz="0" w:space="0" w:color="auto"/>
        <w:right w:val="none" w:sz="0" w:space="0" w:color="auto"/>
      </w:divBdr>
    </w:div>
    <w:div w:id="1294096515">
      <w:bodyDiv w:val="1"/>
      <w:marLeft w:val="0"/>
      <w:marRight w:val="0"/>
      <w:marTop w:val="0"/>
      <w:marBottom w:val="0"/>
      <w:divBdr>
        <w:top w:val="none" w:sz="0" w:space="0" w:color="auto"/>
        <w:left w:val="none" w:sz="0" w:space="0" w:color="auto"/>
        <w:bottom w:val="none" w:sz="0" w:space="0" w:color="auto"/>
        <w:right w:val="none" w:sz="0" w:space="0" w:color="auto"/>
      </w:divBdr>
    </w:div>
    <w:div w:id="1316488711">
      <w:bodyDiv w:val="1"/>
      <w:marLeft w:val="0"/>
      <w:marRight w:val="0"/>
      <w:marTop w:val="0"/>
      <w:marBottom w:val="0"/>
      <w:divBdr>
        <w:top w:val="none" w:sz="0" w:space="0" w:color="auto"/>
        <w:left w:val="none" w:sz="0" w:space="0" w:color="auto"/>
        <w:bottom w:val="none" w:sz="0" w:space="0" w:color="auto"/>
        <w:right w:val="none" w:sz="0" w:space="0" w:color="auto"/>
      </w:divBdr>
    </w:div>
    <w:div w:id="1321159247">
      <w:bodyDiv w:val="1"/>
      <w:marLeft w:val="0"/>
      <w:marRight w:val="0"/>
      <w:marTop w:val="0"/>
      <w:marBottom w:val="0"/>
      <w:divBdr>
        <w:top w:val="none" w:sz="0" w:space="0" w:color="auto"/>
        <w:left w:val="none" w:sz="0" w:space="0" w:color="auto"/>
        <w:bottom w:val="none" w:sz="0" w:space="0" w:color="auto"/>
        <w:right w:val="none" w:sz="0" w:space="0" w:color="auto"/>
      </w:divBdr>
    </w:div>
    <w:div w:id="1332637488">
      <w:bodyDiv w:val="1"/>
      <w:marLeft w:val="0"/>
      <w:marRight w:val="0"/>
      <w:marTop w:val="0"/>
      <w:marBottom w:val="0"/>
      <w:divBdr>
        <w:top w:val="none" w:sz="0" w:space="0" w:color="auto"/>
        <w:left w:val="none" w:sz="0" w:space="0" w:color="auto"/>
        <w:bottom w:val="none" w:sz="0" w:space="0" w:color="auto"/>
        <w:right w:val="none" w:sz="0" w:space="0" w:color="auto"/>
      </w:divBdr>
    </w:div>
    <w:div w:id="1355153719">
      <w:bodyDiv w:val="1"/>
      <w:marLeft w:val="0"/>
      <w:marRight w:val="0"/>
      <w:marTop w:val="0"/>
      <w:marBottom w:val="0"/>
      <w:divBdr>
        <w:top w:val="none" w:sz="0" w:space="0" w:color="auto"/>
        <w:left w:val="none" w:sz="0" w:space="0" w:color="auto"/>
        <w:bottom w:val="none" w:sz="0" w:space="0" w:color="auto"/>
        <w:right w:val="none" w:sz="0" w:space="0" w:color="auto"/>
      </w:divBdr>
    </w:div>
    <w:div w:id="1366172285">
      <w:bodyDiv w:val="1"/>
      <w:marLeft w:val="0"/>
      <w:marRight w:val="0"/>
      <w:marTop w:val="0"/>
      <w:marBottom w:val="0"/>
      <w:divBdr>
        <w:top w:val="none" w:sz="0" w:space="0" w:color="auto"/>
        <w:left w:val="none" w:sz="0" w:space="0" w:color="auto"/>
        <w:bottom w:val="none" w:sz="0" w:space="0" w:color="auto"/>
        <w:right w:val="none" w:sz="0" w:space="0" w:color="auto"/>
      </w:divBdr>
    </w:div>
    <w:div w:id="1366517666">
      <w:bodyDiv w:val="1"/>
      <w:marLeft w:val="0"/>
      <w:marRight w:val="0"/>
      <w:marTop w:val="0"/>
      <w:marBottom w:val="0"/>
      <w:divBdr>
        <w:top w:val="none" w:sz="0" w:space="0" w:color="auto"/>
        <w:left w:val="none" w:sz="0" w:space="0" w:color="auto"/>
        <w:bottom w:val="none" w:sz="0" w:space="0" w:color="auto"/>
        <w:right w:val="none" w:sz="0" w:space="0" w:color="auto"/>
      </w:divBdr>
    </w:div>
    <w:div w:id="1367947233">
      <w:bodyDiv w:val="1"/>
      <w:marLeft w:val="0"/>
      <w:marRight w:val="0"/>
      <w:marTop w:val="0"/>
      <w:marBottom w:val="0"/>
      <w:divBdr>
        <w:top w:val="none" w:sz="0" w:space="0" w:color="auto"/>
        <w:left w:val="none" w:sz="0" w:space="0" w:color="auto"/>
        <w:bottom w:val="none" w:sz="0" w:space="0" w:color="auto"/>
        <w:right w:val="none" w:sz="0" w:space="0" w:color="auto"/>
      </w:divBdr>
    </w:div>
    <w:div w:id="1375890104">
      <w:bodyDiv w:val="1"/>
      <w:marLeft w:val="0"/>
      <w:marRight w:val="0"/>
      <w:marTop w:val="0"/>
      <w:marBottom w:val="0"/>
      <w:divBdr>
        <w:top w:val="none" w:sz="0" w:space="0" w:color="auto"/>
        <w:left w:val="none" w:sz="0" w:space="0" w:color="auto"/>
        <w:bottom w:val="none" w:sz="0" w:space="0" w:color="auto"/>
        <w:right w:val="none" w:sz="0" w:space="0" w:color="auto"/>
      </w:divBdr>
    </w:div>
    <w:div w:id="1388532006">
      <w:bodyDiv w:val="1"/>
      <w:marLeft w:val="0"/>
      <w:marRight w:val="0"/>
      <w:marTop w:val="0"/>
      <w:marBottom w:val="0"/>
      <w:divBdr>
        <w:top w:val="none" w:sz="0" w:space="0" w:color="auto"/>
        <w:left w:val="none" w:sz="0" w:space="0" w:color="auto"/>
        <w:bottom w:val="none" w:sz="0" w:space="0" w:color="auto"/>
        <w:right w:val="none" w:sz="0" w:space="0" w:color="auto"/>
      </w:divBdr>
    </w:div>
    <w:div w:id="1413697418">
      <w:bodyDiv w:val="1"/>
      <w:marLeft w:val="0"/>
      <w:marRight w:val="0"/>
      <w:marTop w:val="0"/>
      <w:marBottom w:val="0"/>
      <w:divBdr>
        <w:top w:val="none" w:sz="0" w:space="0" w:color="auto"/>
        <w:left w:val="none" w:sz="0" w:space="0" w:color="auto"/>
        <w:bottom w:val="none" w:sz="0" w:space="0" w:color="auto"/>
        <w:right w:val="none" w:sz="0" w:space="0" w:color="auto"/>
      </w:divBdr>
    </w:div>
    <w:div w:id="1454708509">
      <w:bodyDiv w:val="1"/>
      <w:marLeft w:val="0"/>
      <w:marRight w:val="0"/>
      <w:marTop w:val="0"/>
      <w:marBottom w:val="0"/>
      <w:divBdr>
        <w:top w:val="none" w:sz="0" w:space="0" w:color="auto"/>
        <w:left w:val="none" w:sz="0" w:space="0" w:color="auto"/>
        <w:bottom w:val="none" w:sz="0" w:space="0" w:color="auto"/>
        <w:right w:val="none" w:sz="0" w:space="0" w:color="auto"/>
      </w:divBdr>
    </w:div>
    <w:div w:id="1460488089">
      <w:bodyDiv w:val="1"/>
      <w:marLeft w:val="0"/>
      <w:marRight w:val="0"/>
      <w:marTop w:val="0"/>
      <w:marBottom w:val="0"/>
      <w:divBdr>
        <w:top w:val="none" w:sz="0" w:space="0" w:color="auto"/>
        <w:left w:val="none" w:sz="0" w:space="0" w:color="auto"/>
        <w:bottom w:val="none" w:sz="0" w:space="0" w:color="auto"/>
        <w:right w:val="none" w:sz="0" w:space="0" w:color="auto"/>
      </w:divBdr>
    </w:div>
    <w:div w:id="1462501688">
      <w:bodyDiv w:val="1"/>
      <w:marLeft w:val="0"/>
      <w:marRight w:val="0"/>
      <w:marTop w:val="0"/>
      <w:marBottom w:val="0"/>
      <w:divBdr>
        <w:top w:val="none" w:sz="0" w:space="0" w:color="auto"/>
        <w:left w:val="none" w:sz="0" w:space="0" w:color="auto"/>
        <w:bottom w:val="none" w:sz="0" w:space="0" w:color="auto"/>
        <w:right w:val="none" w:sz="0" w:space="0" w:color="auto"/>
      </w:divBdr>
    </w:div>
    <w:div w:id="1470980937">
      <w:bodyDiv w:val="1"/>
      <w:marLeft w:val="0"/>
      <w:marRight w:val="0"/>
      <w:marTop w:val="0"/>
      <w:marBottom w:val="0"/>
      <w:divBdr>
        <w:top w:val="none" w:sz="0" w:space="0" w:color="auto"/>
        <w:left w:val="none" w:sz="0" w:space="0" w:color="auto"/>
        <w:bottom w:val="none" w:sz="0" w:space="0" w:color="auto"/>
        <w:right w:val="none" w:sz="0" w:space="0" w:color="auto"/>
      </w:divBdr>
    </w:div>
    <w:div w:id="1489517774">
      <w:bodyDiv w:val="1"/>
      <w:marLeft w:val="0"/>
      <w:marRight w:val="0"/>
      <w:marTop w:val="0"/>
      <w:marBottom w:val="0"/>
      <w:divBdr>
        <w:top w:val="none" w:sz="0" w:space="0" w:color="auto"/>
        <w:left w:val="none" w:sz="0" w:space="0" w:color="auto"/>
        <w:bottom w:val="none" w:sz="0" w:space="0" w:color="auto"/>
        <w:right w:val="none" w:sz="0" w:space="0" w:color="auto"/>
      </w:divBdr>
    </w:div>
    <w:div w:id="1495608982">
      <w:bodyDiv w:val="1"/>
      <w:marLeft w:val="0"/>
      <w:marRight w:val="0"/>
      <w:marTop w:val="0"/>
      <w:marBottom w:val="0"/>
      <w:divBdr>
        <w:top w:val="none" w:sz="0" w:space="0" w:color="auto"/>
        <w:left w:val="none" w:sz="0" w:space="0" w:color="auto"/>
        <w:bottom w:val="none" w:sz="0" w:space="0" w:color="auto"/>
        <w:right w:val="none" w:sz="0" w:space="0" w:color="auto"/>
      </w:divBdr>
    </w:div>
    <w:div w:id="1529565458">
      <w:bodyDiv w:val="1"/>
      <w:marLeft w:val="0"/>
      <w:marRight w:val="0"/>
      <w:marTop w:val="0"/>
      <w:marBottom w:val="0"/>
      <w:divBdr>
        <w:top w:val="none" w:sz="0" w:space="0" w:color="auto"/>
        <w:left w:val="none" w:sz="0" w:space="0" w:color="auto"/>
        <w:bottom w:val="none" w:sz="0" w:space="0" w:color="auto"/>
        <w:right w:val="none" w:sz="0" w:space="0" w:color="auto"/>
      </w:divBdr>
    </w:div>
    <w:div w:id="1561478041">
      <w:bodyDiv w:val="1"/>
      <w:marLeft w:val="0"/>
      <w:marRight w:val="0"/>
      <w:marTop w:val="0"/>
      <w:marBottom w:val="0"/>
      <w:divBdr>
        <w:top w:val="none" w:sz="0" w:space="0" w:color="auto"/>
        <w:left w:val="none" w:sz="0" w:space="0" w:color="auto"/>
        <w:bottom w:val="none" w:sz="0" w:space="0" w:color="auto"/>
        <w:right w:val="none" w:sz="0" w:space="0" w:color="auto"/>
      </w:divBdr>
    </w:div>
    <w:div w:id="1562668992">
      <w:bodyDiv w:val="1"/>
      <w:marLeft w:val="0"/>
      <w:marRight w:val="0"/>
      <w:marTop w:val="0"/>
      <w:marBottom w:val="0"/>
      <w:divBdr>
        <w:top w:val="none" w:sz="0" w:space="0" w:color="auto"/>
        <w:left w:val="none" w:sz="0" w:space="0" w:color="auto"/>
        <w:bottom w:val="none" w:sz="0" w:space="0" w:color="auto"/>
        <w:right w:val="none" w:sz="0" w:space="0" w:color="auto"/>
      </w:divBdr>
    </w:div>
    <w:div w:id="1570339813">
      <w:bodyDiv w:val="1"/>
      <w:marLeft w:val="0"/>
      <w:marRight w:val="0"/>
      <w:marTop w:val="0"/>
      <w:marBottom w:val="0"/>
      <w:divBdr>
        <w:top w:val="none" w:sz="0" w:space="0" w:color="auto"/>
        <w:left w:val="none" w:sz="0" w:space="0" w:color="auto"/>
        <w:bottom w:val="none" w:sz="0" w:space="0" w:color="auto"/>
        <w:right w:val="none" w:sz="0" w:space="0" w:color="auto"/>
      </w:divBdr>
    </w:div>
    <w:div w:id="1571184780">
      <w:bodyDiv w:val="1"/>
      <w:marLeft w:val="0"/>
      <w:marRight w:val="0"/>
      <w:marTop w:val="0"/>
      <w:marBottom w:val="0"/>
      <w:divBdr>
        <w:top w:val="none" w:sz="0" w:space="0" w:color="auto"/>
        <w:left w:val="none" w:sz="0" w:space="0" w:color="auto"/>
        <w:bottom w:val="none" w:sz="0" w:space="0" w:color="auto"/>
        <w:right w:val="none" w:sz="0" w:space="0" w:color="auto"/>
      </w:divBdr>
    </w:div>
    <w:div w:id="1577587971">
      <w:bodyDiv w:val="1"/>
      <w:marLeft w:val="0"/>
      <w:marRight w:val="0"/>
      <w:marTop w:val="0"/>
      <w:marBottom w:val="0"/>
      <w:divBdr>
        <w:top w:val="none" w:sz="0" w:space="0" w:color="auto"/>
        <w:left w:val="none" w:sz="0" w:space="0" w:color="auto"/>
        <w:bottom w:val="none" w:sz="0" w:space="0" w:color="auto"/>
        <w:right w:val="none" w:sz="0" w:space="0" w:color="auto"/>
      </w:divBdr>
    </w:div>
    <w:div w:id="1588735395">
      <w:bodyDiv w:val="1"/>
      <w:marLeft w:val="0"/>
      <w:marRight w:val="0"/>
      <w:marTop w:val="0"/>
      <w:marBottom w:val="0"/>
      <w:divBdr>
        <w:top w:val="none" w:sz="0" w:space="0" w:color="auto"/>
        <w:left w:val="none" w:sz="0" w:space="0" w:color="auto"/>
        <w:bottom w:val="none" w:sz="0" w:space="0" w:color="auto"/>
        <w:right w:val="none" w:sz="0" w:space="0" w:color="auto"/>
      </w:divBdr>
    </w:div>
    <w:div w:id="1592815453">
      <w:bodyDiv w:val="1"/>
      <w:marLeft w:val="0"/>
      <w:marRight w:val="0"/>
      <w:marTop w:val="0"/>
      <w:marBottom w:val="0"/>
      <w:divBdr>
        <w:top w:val="none" w:sz="0" w:space="0" w:color="auto"/>
        <w:left w:val="none" w:sz="0" w:space="0" w:color="auto"/>
        <w:bottom w:val="none" w:sz="0" w:space="0" w:color="auto"/>
        <w:right w:val="none" w:sz="0" w:space="0" w:color="auto"/>
      </w:divBdr>
    </w:div>
    <w:div w:id="1618295581">
      <w:bodyDiv w:val="1"/>
      <w:marLeft w:val="0"/>
      <w:marRight w:val="0"/>
      <w:marTop w:val="0"/>
      <w:marBottom w:val="0"/>
      <w:divBdr>
        <w:top w:val="none" w:sz="0" w:space="0" w:color="auto"/>
        <w:left w:val="none" w:sz="0" w:space="0" w:color="auto"/>
        <w:bottom w:val="none" w:sz="0" w:space="0" w:color="auto"/>
        <w:right w:val="none" w:sz="0" w:space="0" w:color="auto"/>
      </w:divBdr>
    </w:div>
    <w:div w:id="1631280994">
      <w:bodyDiv w:val="1"/>
      <w:marLeft w:val="0"/>
      <w:marRight w:val="0"/>
      <w:marTop w:val="0"/>
      <w:marBottom w:val="0"/>
      <w:divBdr>
        <w:top w:val="none" w:sz="0" w:space="0" w:color="auto"/>
        <w:left w:val="none" w:sz="0" w:space="0" w:color="auto"/>
        <w:bottom w:val="none" w:sz="0" w:space="0" w:color="auto"/>
        <w:right w:val="none" w:sz="0" w:space="0" w:color="auto"/>
      </w:divBdr>
    </w:div>
    <w:div w:id="1656496152">
      <w:bodyDiv w:val="1"/>
      <w:marLeft w:val="0"/>
      <w:marRight w:val="0"/>
      <w:marTop w:val="0"/>
      <w:marBottom w:val="0"/>
      <w:divBdr>
        <w:top w:val="none" w:sz="0" w:space="0" w:color="auto"/>
        <w:left w:val="none" w:sz="0" w:space="0" w:color="auto"/>
        <w:bottom w:val="none" w:sz="0" w:space="0" w:color="auto"/>
        <w:right w:val="none" w:sz="0" w:space="0" w:color="auto"/>
      </w:divBdr>
    </w:div>
    <w:div w:id="1664813658">
      <w:bodyDiv w:val="1"/>
      <w:marLeft w:val="0"/>
      <w:marRight w:val="0"/>
      <w:marTop w:val="0"/>
      <w:marBottom w:val="0"/>
      <w:divBdr>
        <w:top w:val="none" w:sz="0" w:space="0" w:color="auto"/>
        <w:left w:val="none" w:sz="0" w:space="0" w:color="auto"/>
        <w:bottom w:val="none" w:sz="0" w:space="0" w:color="auto"/>
        <w:right w:val="none" w:sz="0" w:space="0" w:color="auto"/>
      </w:divBdr>
    </w:div>
    <w:div w:id="1694765895">
      <w:bodyDiv w:val="1"/>
      <w:marLeft w:val="0"/>
      <w:marRight w:val="0"/>
      <w:marTop w:val="0"/>
      <w:marBottom w:val="0"/>
      <w:divBdr>
        <w:top w:val="none" w:sz="0" w:space="0" w:color="auto"/>
        <w:left w:val="none" w:sz="0" w:space="0" w:color="auto"/>
        <w:bottom w:val="none" w:sz="0" w:space="0" w:color="auto"/>
        <w:right w:val="none" w:sz="0" w:space="0" w:color="auto"/>
      </w:divBdr>
    </w:div>
    <w:div w:id="1697735643">
      <w:bodyDiv w:val="1"/>
      <w:marLeft w:val="0"/>
      <w:marRight w:val="0"/>
      <w:marTop w:val="0"/>
      <w:marBottom w:val="0"/>
      <w:divBdr>
        <w:top w:val="none" w:sz="0" w:space="0" w:color="auto"/>
        <w:left w:val="none" w:sz="0" w:space="0" w:color="auto"/>
        <w:bottom w:val="none" w:sz="0" w:space="0" w:color="auto"/>
        <w:right w:val="none" w:sz="0" w:space="0" w:color="auto"/>
      </w:divBdr>
    </w:div>
    <w:div w:id="1708918768">
      <w:bodyDiv w:val="1"/>
      <w:marLeft w:val="0"/>
      <w:marRight w:val="0"/>
      <w:marTop w:val="0"/>
      <w:marBottom w:val="0"/>
      <w:divBdr>
        <w:top w:val="none" w:sz="0" w:space="0" w:color="auto"/>
        <w:left w:val="none" w:sz="0" w:space="0" w:color="auto"/>
        <w:bottom w:val="none" w:sz="0" w:space="0" w:color="auto"/>
        <w:right w:val="none" w:sz="0" w:space="0" w:color="auto"/>
      </w:divBdr>
    </w:div>
    <w:div w:id="1721662405">
      <w:bodyDiv w:val="1"/>
      <w:marLeft w:val="0"/>
      <w:marRight w:val="0"/>
      <w:marTop w:val="0"/>
      <w:marBottom w:val="0"/>
      <w:divBdr>
        <w:top w:val="none" w:sz="0" w:space="0" w:color="auto"/>
        <w:left w:val="none" w:sz="0" w:space="0" w:color="auto"/>
        <w:bottom w:val="none" w:sz="0" w:space="0" w:color="auto"/>
        <w:right w:val="none" w:sz="0" w:space="0" w:color="auto"/>
      </w:divBdr>
    </w:div>
    <w:div w:id="1733848915">
      <w:bodyDiv w:val="1"/>
      <w:marLeft w:val="0"/>
      <w:marRight w:val="0"/>
      <w:marTop w:val="0"/>
      <w:marBottom w:val="0"/>
      <w:divBdr>
        <w:top w:val="none" w:sz="0" w:space="0" w:color="auto"/>
        <w:left w:val="none" w:sz="0" w:space="0" w:color="auto"/>
        <w:bottom w:val="none" w:sz="0" w:space="0" w:color="auto"/>
        <w:right w:val="none" w:sz="0" w:space="0" w:color="auto"/>
      </w:divBdr>
    </w:div>
    <w:div w:id="1743410699">
      <w:bodyDiv w:val="1"/>
      <w:marLeft w:val="0"/>
      <w:marRight w:val="0"/>
      <w:marTop w:val="0"/>
      <w:marBottom w:val="0"/>
      <w:divBdr>
        <w:top w:val="none" w:sz="0" w:space="0" w:color="auto"/>
        <w:left w:val="none" w:sz="0" w:space="0" w:color="auto"/>
        <w:bottom w:val="none" w:sz="0" w:space="0" w:color="auto"/>
        <w:right w:val="none" w:sz="0" w:space="0" w:color="auto"/>
      </w:divBdr>
    </w:div>
    <w:div w:id="1747922249">
      <w:bodyDiv w:val="1"/>
      <w:marLeft w:val="0"/>
      <w:marRight w:val="0"/>
      <w:marTop w:val="0"/>
      <w:marBottom w:val="0"/>
      <w:divBdr>
        <w:top w:val="none" w:sz="0" w:space="0" w:color="auto"/>
        <w:left w:val="none" w:sz="0" w:space="0" w:color="auto"/>
        <w:bottom w:val="none" w:sz="0" w:space="0" w:color="auto"/>
        <w:right w:val="none" w:sz="0" w:space="0" w:color="auto"/>
      </w:divBdr>
    </w:div>
    <w:div w:id="1754354338">
      <w:bodyDiv w:val="1"/>
      <w:marLeft w:val="0"/>
      <w:marRight w:val="0"/>
      <w:marTop w:val="0"/>
      <w:marBottom w:val="0"/>
      <w:divBdr>
        <w:top w:val="none" w:sz="0" w:space="0" w:color="auto"/>
        <w:left w:val="none" w:sz="0" w:space="0" w:color="auto"/>
        <w:bottom w:val="none" w:sz="0" w:space="0" w:color="auto"/>
        <w:right w:val="none" w:sz="0" w:space="0" w:color="auto"/>
      </w:divBdr>
    </w:div>
    <w:div w:id="1767194218">
      <w:bodyDiv w:val="1"/>
      <w:marLeft w:val="0"/>
      <w:marRight w:val="0"/>
      <w:marTop w:val="0"/>
      <w:marBottom w:val="0"/>
      <w:divBdr>
        <w:top w:val="none" w:sz="0" w:space="0" w:color="auto"/>
        <w:left w:val="none" w:sz="0" w:space="0" w:color="auto"/>
        <w:bottom w:val="none" w:sz="0" w:space="0" w:color="auto"/>
        <w:right w:val="none" w:sz="0" w:space="0" w:color="auto"/>
      </w:divBdr>
    </w:div>
    <w:div w:id="1786149050">
      <w:bodyDiv w:val="1"/>
      <w:marLeft w:val="0"/>
      <w:marRight w:val="0"/>
      <w:marTop w:val="0"/>
      <w:marBottom w:val="0"/>
      <w:divBdr>
        <w:top w:val="none" w:sz="0" w:space="0" w:color="auto"/>
        <w:left w:val="none" w:sz="0" w:space="0" w:color="auto"/>
        <w:bottom w:val="none" w:sz="0" w:space="0" w:color="auto"/>
        <w:right w:val="none" w:sz="0" w:space="0" w:color="auto"/>
      </w:divBdr>
    </w:div>
    <w:div w:id="1802720925">
      <w:bodyDiv w:val="1"/>
      <w:marLeft w:val="0"/>
      <w:marRight w:val="0"/>
      <w:marTop w:val="0"/>
      <w:marBottom w:val="0"/>
      <w:divBdr>
        <w:top w:val="none" w:sz="0" w:space="0" w:color="auto"/>
        <w:left w:val="none" w:sz="0" w:space="0" w:color="auto"/>
        <w:bottom w:val="none" w:sz="0" w:space="0" w:color="auto"/>
        <w:right w:val="none" w:sz="0" w:space="0" w:color="auto"/>
      </w:divBdr>
    </w:div>
    <w:div w:id="1808861797">
      <w:bodyDiv w:val="1"/>
      <w:marLeft w:val="0"/>
      <w:marRight w:val="0"/>
      <w:marTop w:val="0"/>
      <w:marBottom w:val="0"/>
      <w:divBdr>
        <w:top w:val="none" w:sz="0" w:space="0" w:color="auto"/>
        <w:left w:val="none" w:sz="0" w:space="0" w:color="auto"/>
        <w:bottom w:val="none" w:sz="0" w:space="0" w:color="auto"/>
        <w:right w:val="none" w:sz="0" w:space="0" w:color="auto"/>
      </w:divBdr>
    </w:div>
    <w:div w:id="1819149934">
      <w:bodyDiv w:val="1"/>
      <w:marLeft w:val="0"/>
      <w:marRight w:val="0"/>
      <w:marTop w:val="0"/>
      <w:marBottom w:val="0"/>
      <w:divBdr>
        <w:top w:val="none" w:sz="0" w:space="0" w:color="auto"/>
        <w:left w:val="none" w:sz="0" w:space="0" w:color="auto"/>
        <w:bottom w:val="none" w:sz="0" w:space="0" w:color="auto"/>
        <w:right w:val="none" w:sz="0" w:space="0" w:color="auto"/>
      </w:divBdr>
    </w:div>
    <w:div w:id="1828592838">
      <w:bodyDiv w:val="1"/>
      <w:marLeft w:val="0"/>
      <w:marRight w:val="0"/>
      <w:marTop w:val="0"/>
      <w:marBottom w:val="0"/>
      <w:divBdr>
        <w:top w:val="none" w:sz="0" w:space="0" w:color="auto"/>
        <w:left w:val="none" w:sz="0" w:space="0" w:color="auto"/>
        <w:bottom w:val="none" w:sz="0" w:space="0" w:color="auto"/>
        <w:right w:val="none" w:sz="0" w:space="0" w:color="auto"/>
      </w:divBdr>
    </w:div>
    <w:div w:id="1832208709">
      <w:bodyDiv w:val="1"/>
      <w:marLeft w:val="0"/>
      <w:marRight w:val="0"/>
      <w:marTop w:val="0"/>
      <w:marBottom w:val="0"/>
      <w:divBdr>
        <w:top w:val="none" w:sz="0" w:space="0" w:color="auto"/>
        <w:left w:val="none" w:sz="0" w:space="0" w:color="auto"/>
        <w:bottom w:val="none" w:sz="0" w:space="0" w:color="auto"/>
        <w:right w:val="none" w:sz="0" w:space="0" w:color="auto"/>
      </w:divBdr>
    </w:div>
    <w:div w:id="1864709040">
      <w:bodyDiv w:val="1"/>
      <w:marLeft w:val="0"/>
      <w:marRight w:val="0"/>
      <w:marTop w:val="0"/>
      <w:marBottom w:val="0"/>
      <w:divBdr>
        <w:top w:val="none" w:sz="0" w:space="0" w:color="auto"/>
        <w:left w:val="none" w:sz="0" w:space="0" w:color="auto"/>
        <w:bottom w:val="none" w:sz="0" w:space="0" w:color="auto"/>
        <w:right w:val="none" w:sz="0" w:space="0" w:color="auto"/>
      </w:divBdr>
    </w:div>
    <w:div w:id="1878079285">
      <w:bodyDiv w:val="1"/>
      <w:marLeft w:val="0"/>
      <w:marRight w:val="0"/>
      <w:marTop w:val="0"/>
      <w:marBottom w:val="0"/>
      <w:divBdr>
        <w:top w:val="none" w:sz="0" w:space="0" w:color="auto"/>
        <w:left w:val="none" w:sz="0" w:space="0" w:color="auto"/>
        <w:bottom w:val="none" w:sz="0" w:space="0" w:color="auto"/>
        <w:right w:val="none" w:sz="0" w:space="0" w:color="auto"/>
      </w:divBdr>
    </w:div>
    <w:div w:id="1878156642">
      <w:bodyDiv w:val="1"/>
      <w:marLeft w:val="0"/>
      <w:marRight w:val="0"/>
      <w:marTop w:val="0"/>
      <w:marBottom w:val="0"/>
      <w:divBdr>
        <w:top w:val="none" w:sz="0" w:space="0" w:color="auto"/>
        <w:left w:val="none" w:sz="0" w:space="0" w:color="auto"/>
        <w:bottom w:val="none" w:sz="0" w:space="0" w:color="auto"/>
        <w:right w:val="none" w:sz="0" w:space="0" w:color="auto"/>
      </w:divBdr>
    </w:div>
    <w:div w:id="1881437192">
      <w:bodyDiv w:val="1"/>
      <w:marLeft w:val="0"/>
      <w:marRight w:val="0"/>
      <w:marTop w:val="0"/>
      <w:marBottom w:val="0"/>
      <w:divBdr>
        <w:top w:val="none" w:sz="0" w:space="0" w:color="auto"/>
        <w:left w:val="none" w:sz="0" w:space="0" w:color="auto"/>
        <w:bottom w:val="none" w:sz="0" w:space="0" w:color="auto"/>
        <w:right w:val="none" w:sz="0" w:space="0" w:color="auto"/>
      </w:divBdr>
    </w:div>
    <w:div w:id="1924605418">
      <w:bodyDiv w:val="1"/>
      <w:marLeft w:val="0"/>
      <w:marRight w:val="0"/>
      <w:marTop w:val="0"/>
      <w:marBottom w:val="0"/>
      <w:divBdr>
        <w:top w:val="none" w:sz="0" w:space="0" w:color="auto"/>
        <w:left w:val="none" w:sz="0" w:space="0" w:color="auto"/>
        <w:bottom w:val="none" w:sz="0" w:space="0" w:color="auto"/>
        <w:right w:val="none" w:sz="0" w:space="0" w:color="auto"/>
      </w:divBdr>
    </w:div>
    <w:div w:id="1956984588">
      <w:bodyDiv w:val="1"/>
      <w:marLeft w:val="0"/>
      <w:marRight w:val="0"/>
      <w:marTop w:val="0"/>
      <w:marBottom w:val="0"/>
      <w:divBdr>
        <w:top w:val="none" w:sz="0" w:space="0" w:color="auto"/>
        <w:left w:val="none" w:sz="0" w:space="0" w:color="auto"/>
        <w:bottom w:val="none" w:sz="0" w:space="0" w:color="auto"/>
        <w:right w:val="none" w:sz="0" w:space="0" w:color="auto"/>
      </w:divBdr>
    </w:div>
    <w:div w:id="1975329507">
      <w:bodyDiv w:val="1"/>
      <w:marLeft w:val="0"/>
      <w:marRight w:val="0"/>
      <w:marTop w:val="0"/>
      <w:marBottom w:val="0"/>
      <w:divBdr>
        <w:top w:val="none" w:sz="0" w:space="0" w:color="auto"/>
        <w:left w:val="none" w:sz="0" w:space="0" w:color="auto"/>
        <w:bottom w:val="none" w:sz="0" w:space="0" w:color="auto"/>
        <w:right w:val="none" w:sz="0" w:space="0" w:color="auto"/>
      </w:divBdr>
    </w:div>
    <w:div w:id="1989361732">
      <w:bodyDiv w:val="1"/>
      <w:marLeft w:val="0"/>
      <w:marRight w:val="0"/>
      <w:marTop w:val="0"/>
      <w:marBottom w:val="0"/>
      <w:divBdr>
        <w:top w:val="none" w:sz="0" w:space="0" w:color="auto"/>
        <w:left w:val="none" w:sz="0" w:space="0" w:color="auto"/>
        <w:bottom w:val="none" w:sz="0" w:space="0" w:color="auto"/>
        <w:right w:val="none" w:sz="0" w:space="0" w:color="auto"/>
      </w:divBdr>
    </w:div>
    <w:div w:id="1991473884">
      <w:bodyDiv w:val="1"/>
      <w:marLeft w:val="0"/>
      <w:marRight w:val="0"/>
      <w:marTop w:val="0"/>
      <w:marBottom w:val="0"/>
      <w:divBdr>
        <w:top w:val="none" w:sz="0" w:space="0" w:color="auto"/>
        <w:left w:val="none" w:sz="0" w:space="0" w:color="auto"/>
        <w:bottom w:val="none" w:sz="0" w:space="0" w:color="auto"/>
        <w:right w:val="none" w:sz="0" w:space="0" w:color="auto"/>
      </w:divBdr>
    </w:div>
    <w:div w:id="2027897434">
      <w:bodyDiv w:val="1"/>
      <w:marLeft w:val="0"/>
      <w:marRight w:val="0"/>
      <w:marTop w:val="0"/>
      <w:marBottom w:val="0"/>
      <w:divBdr>
        <w:top w:val="none" w:sz="0" w:space="0" w:color="auto"/>
        <w:left w:val="none" w:sz="0" w:space="0" w:color="auto"/>
        <w:bottom w:val="none" w:sz="0" w:space="0" w:color="auto"/>
        <w:right w:val="none" w:sz="0" w:space="0" w:color="auto"/>
      </w:divBdr>
    </w:div>
    <w:div w:id="2040856938">
      <w:bodyDiv w:val="1"/>
      <w:marLeft w:val="0"/>
      <w:marRight w:val="0"/>
      <w:marTop w:val="0"/>
      <w:marBottom w:val="0"/>
      <w:divBdr>
        <w:top w:val="none" w:sz="0" w:space="0" w:color="auto"/>
        <w:left w:val="none" w:sz="0" w:space="0" w:color="auto"/>
        <w:bottom w:val="none" w:sz="0" w:space="0" w:color="auto"/>
        <w:right w:val="none" w:sz="0" w:space="0" w:color="auto"/>
      </w:divBdr>
    </w:div>
    <w:div w:id="2042702854">
      <w:bodyDiv w:val="1"/>
      <w:marLeft w:val="0"/>
      <w:marRight w:val="0"/>
      <w:marTop w:val="0"/>
      <w:marBottom w:val="0"/>
      <w:divBdr>
        <w:top w:val="none" w:sz="0" w:space="0" w:color="auto"/>
        <w:left w:val="none" w:sz="0" w:space="0" w:color="auto"/>
        <w:bottom w:val="none" w:sz="0" w:space="0" w:color="auto"/>
        <w:right w:val="none" w:sz="0" w:space="0" w:color="auto"/>
      </w:divBdr>
    </w:div>
    <w:div w:id="2044400741">
      <w:bodyDiv w:val="1"/>
      <w:marLeft w:val="0"/>
      <w:marRight w:val="0"/>
      <w:marTop w:val="0"/>
      <w:marBottom w:val="0"/>
      <w:divBdr>
        <w:top w:val="none" w:sz="0" w:space="0" w:color="auto"/>
        <w:left w:val="none" w:sz="0" w:space="0" w:color="auto"/>
        <w:bottom w:val="none" w:sz="0" w:space="0" w:color="auto"/>
        <w:right w:val="none" w:sz="0" w:space="0" w:color="auto"/>
      </w:divBdr>
    </w:div>
    <w:div w:id="2061859550">
      <w:bodyDiv w:val="1"/>
      <w:marLeft w:val="0"/>
      <w:marRight w:val="0"/>
      <w:marTop w:val="0"/>
      <w:marBottom w:val="0"/>
      <w:divBdr>
        <w:top w:val="none" w:sz="0" w:space="0" w:color="auto"/>
        <w:left w:val="none" w:sz="0" w:space="0" w:color="auto"/>
        <w:bottom w:val="none" w:sz="0" w:space="0" w:color="auto"/>
        <w:right w:val="none" w:sz="0" w:space="0" w:color="auto"/>
      </w:divBdr>
    </w:div>
    <w:div w:id="2075733854">
      <w:bodyDiv w:val="1"/>
      <w:marLeft w:val="0"/>
      <w:marRight w:val="0"/>
      <w:marTop w:val="0"/>
      <w:marBottom w:val="0"/>
      <w:divBdr>
        <w:top w:val="none" w:sz="0" w:space="0" w:color="auto"/>
        <w:left w:val="none" w:sz="0" w:space="0" w:color="auto"/>
        <w:bottom w:val="none" w:sz="0" w:space="0" w:color="auto"/>
        <w:right w:val="none" w:sz="0" w:space="0" w:color="auto"/>
      </w:divBdr>
    </w:div>
    <w:div w:id="2093623851">
      <w:bodyDiv w:val="1"/>
      <w:marLeft w:val="0"/>
      <w:marRight w:val="0"/>
      <w:marTop w:val="0"/>
      <w:marBottom w:val="0"/>
      <w:divBdr>
        <w:top w:val="none" w:sz="0" w:space="0" w:color="auto"/>
        <w:left w:val="none" w:sz="0" w:space="0" w:color="auto"/>
        <w:bottom w:val="none" w:sz="0" w:space="0" w:color="auto"/>
        <w:right w:val="none" w:sz="0" w:space="0" w:color="auto"/>
      </w:divBdr>
    </w:div>
    <w:div w:id="2096856523">
      <w:bodyDiv w:val="1"/>
      <w:marLeft w:val="0"/>
      <w:marRight w:val="0"/>
      <w:marTop w:val="0"/>
      <w:marBottom w:val="0"/>
      <w:divBdr>
        <w:top w:val="none" w:sz="0" w:space="0" w:color="auto"/>
        <w:left w:val="none" w:sz="0" w:space="0" w:color="auto"/>
        <w:bottom w:val="none" w:sz="0" w:space="0" w:color="auto"/>
        <w:right w:val="none" w:sz="0" w:space="0" w:color="auto"/>
      </w:divBdr>
    </w:div>
    <w:div w:id="2101178513">
      <w:bodyDiv w:val="1"/>
      <w:marLeft w:val="0"/>
      <w:marRight w:val="0"/>
      <w:marTop w:val="0"/>
      <w:marBottom w:val="0"/>
      <w:divBdr>
        <w:top w:val="none" w:sz="0" w:space="0" w:color="auto"/>
        <w:left w:val="none" w:sz="0" w:space="0" w:color="auto"/>
        <w:bottom w:val="none" w:sz="0" w:space="0" w:color="auto"/>
        <w:right w:val="none" w:sz="0" w:space="0" w:color="auto"/>
      </w:divBdr>
    </w:div>
    <w:div w:id="2106730077">
      <w:bodyDiv w:val="1"/>
      <w:marLeft w:val="0"/>
      <w:marRight w:val="0"/>
      <w:marTop w:val="0"/>
      <w:marBottom w:val="0"/>
      <w:divBdr>
        <w:top w:val="none" w:sz="0" w:space="0" w:color="auto"/>
        <w:left w:val="none" w:sz="0" w:space="0" w:color="auto"/>
        <w:bottom w:val="none" w:sz="0" w:space="0" w:color="auto"/>
        <w:right w:val="none" w:sz="0" w:space="0" w:color="auto"/>
      </w:divBdr>
    </w:div>
    <w:div w:id="2107924599">
      <w:bodyDiv w:val="1"/>
      <w:marLeft w:val="0"/>
      <w:marRight w:val="0"/>
      <w:marTop w:val="0"/>
      <w:marBottom w:val="0"/>
      <w:divBdr>
        <w:top w:val="none" w:sz="0" w:space="0" w:color="auto"/>
        <w:left w:val="none" w:sz="0" w:space="0" w:color="auto"/>
        <w:bottom w:val="none" w:sz="0" w:space="0" w:color="auto"/>
        <w:right w:val="none" w:sz="0" w:space="0" w:color="auto"/>
      </w:divBdr>
    </w:div>
    <w:div w:id="2108428078">
      <w:bodyDiv w:val="1"/>
      <w:marLeft w:val="0"/>
      <w:marRight w:val="0"/>
      <w:marTop w:val="0"/>
      <w:marBottom w:val="0"/>
      <w:divBdr>
        <w:top w:val="none" w:sz="0" w:space="0" w:color="auto"/>
        <w:left w:val="none" w:sz="0" w:space="0" w:color="auto"/>
        <w:bottom w:val="none" w:sz="0" w:space="0" w:color="auto"/>
        <w:right w:val="none" w:sz="0" w:space="0" w:color="auto"/>
      </w:divBdr>
    </w:div>
    <w:div w:id="2112121169">
      <w:bodyDiv w:val="1"/>
      <w:marLeft w:val="0"/>
      <w:marRight w:val="0"/>
      <w:marTop w:val="0"/>
      <w:marBottom w:val="0"/>
      <w:divBdr>
        <w:top w:val="none" w:sz="0" w:space="0" w:color="auto"/>
        <w:left w:val="none" w:sz="0" w:space="0" w:color="auto"/>
        <w:bottom w:val="none" w:sz="0" w:space="0" w:color="auto"/>
        <w:right w:val="none" w:sz="0" w:space="0" w:color="auto"/>
      </w:divBdr>
    </w:div>
    <w:div w:id="2118062393">
      <w:bodyDiv w:val="1"/>
      <w:marLeft w:val="0"/>
      <w:marRight w:val="0"/>
      <w:marTop w:val="0"/>
      <w:marBottom w:val="0"/>
      <w:divBdr>
        <w:top w:val="none" w:sz="0" w:space="0" w:color="auto"/>
        <w:left w:val="none" w:sz="0" w:space="0" w:color="auto"/>
        <w:bottom w:val="none" w:sz="0" w:space="0" w:color="auto"/>
        <w:right w:val="none" w:sz="0" w:space="0" w:color="auto"/>
      </w:divBdr>
    </w:div>
    <w:div w:id="2145660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Van-ban-hop-nhat-05-VBHN-VPQH-2020-Luat-De-dieu-457490.aspx"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7A42E4-3DB0-4B28-B3F9-132C4C590D7B}">
  <ds:schemaRefs>
    <ds:schemaRef ds:uri="http://schemas.openxmlformats.org/officeDocument/2006/bibliography"/>
  </ds:schemaRefs>
</ds:datastoreItem>
</file>

<file path=customXml/itemProps2.xml><?xml version="1.0" encoding="utf-8"?>
<ds:datastoreItem xmlns:ds="http://schemas.openxmlformats.org/officeDocument/2006/customXml" ds:itemID="{949302DE-6F12-4747-8A87-6BFE98703292}"/>
</file>

<file path=customXml/itemProps3.xml><?xml version="1.0" encoding="utf-8"?>
<ds:datastoreItem xmlns:ds="http://schemas.openxmlformats.org/officeDocument/2006/customXml" ds:itemID="{131C9F21-A49A-4077-8502-55472A0A1F25}"/>
</file>

<file path=customXml/itemProps4.xml><?xml version="1.0" encoding="utf-8"?>
<ds:datastoreItem xmlns:ds="http://schemas.openxmlformats.org/officeDocument/2006/customXml" ds:itemID="{F6B5F7C6-AFE0-4926-B93C-8BD16E28D96D}"/>
</file>

<file path=docProps/app.xml><?xml version="1.0" encoding="utf-8"?>
<Properties xmlns="http://schemas.openxmlformats.org/officeDocument/2006/extended-properties" xmlns:vt="http://schemas.openxmlformats.org/officeDocument/2006/docPropsVTypes">
  <Template>Normal</Template>
  <TotalTime>0</TotalTime>
  <Pages>46</Pages>
  <Words>20931</Words>
  <Characters>119308</Characters>
  <Application>Microsoft Office Word</Application>
  <DocSecurity>0</DocSecurity>
  <Lines>994</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Thi Mai Hien</cp:lastModifiedBy>
  <cp:revision>2</cp:revision>
  <dcterms:created xsi:type="dcterms:W3CDTF">2025-05-20T10:00:00Z</dcterms:created>
  <dcterms:modified xsi:type="dcterms:W3CDTF">2025-05-20T10:00:00Z</dcterms:modified>
</cp:coreProperties>
</file>